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FCCD798" w:rsidR="00E84E50" w:rsidRPr="0090112C" w:rsidRDefault="00E84E50"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დედათა და ბავშვთა ჯანმრთელობის გაუმჯობესება</w:t>
      </w:r>
      <w:r w:rsidRPr="0090112C">
        <w:rPr>
          <w:rFonts w:ascii="Sylfaen" w:eastAsia="Sylfaen" w:hAnsi="Sylfaen"/>
          <w:color w:val="000000"/>
          <w:lang w:val="ka-GE"/>
        </w:rPr>
        <w:t>;</w:t>
      </w:r>
    </w:p>
    <w:p w14:paraId="762C8C83"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90112C" w:rsidRDefault="00DE1843" w:rsidP="00656E7F">
      <w:pPr>
        <w:pStyle w:val="ListParagraph"/>
        <w:numPr>
          <w:ilvl w:val="0"/>
          <w:numId w:val="25"/>
        </w:numPr>
        <w:spacing w:after="0" w:line="240" w:lineRule="auto"/>
        <w:ind w:left="714" w:hanging="357"/>
        <w:contextualSpacing/>
        <w:jc w:val="both"/>
        <w:rPr>
          <w:rFonts w:ascii="Sylfaen" w:eastAsia="Sylfaen" w:hAnsi="Sylfaen"/>
          <w:lang w:val="ka-GE"/>
        </w:rPr>
      </w:pPr>
      <w:r w:rsidRPr="0090112C">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C ჰეპატიტის გავრცელების შემცირება;</w:t>
      </w:r>
    </w:p>
    <w:p w14:paraId="7D7FAC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p>
    <w:p w14:paraId="33F6B998" w14:textId="77777777" w:rsidR="002A79E6" w:rsidRPr="0090112C" w:rsidRDefault="002A79E6" w:rsidP="002A79E6">
      <w:pPr>
        <w:rPr>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90112C" w:rsidRDefault="00B405C7" w:rsidP="00A61D3B">
      <w:pPr>
        <w:numPr>
          <w:ilvl w:val="0"/>
          <w:numId w:val="3"/>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დედათა </w:t>
      </w:r>
      <w:r w:rsidR="00403CD5" w:rsidRPr="0090112C">
        <w:rPr>
          <w:rFonts w:ascii="Sylfaen" w:eastAsia="Sylfaen" w:hAnsi="Sylfaen" w:cs="Calibri"/>
          <w:color w:val="000000"/>
          <w:highlight w:val="yellow"/>
          <w:lang w:val="ka-GE"/>
        </w:rPr>
        <w:t xml:space="preserve">და ბავშვთა </w:t>
      </w:r>
      <w:r w:rsidRPr="0090112C">
        <w:rPr>
          <w:rFonts w:ascii="Sylfaen" w:eastAsia="Sylfaen" w:hAnsi="Sylfaen" w:cs="Calibri"/>
          <w:color w:val="000000"/>
          <w:highlight w:val="yellow"/>
        </w:rPr>
        <w:t>სიკვდილიანობის მაჩვენებლ</w:t>
      </w:r>
      <w:r w:rsidR="00687300" w:rsidRPr="0090112C">
        <w:rPr>
          <w:rFonts w:ascii="Sylfaen" w:eastAsia="Sylfaen" w:hAnsi="Sylfaen" w:cs="Calibri"/>
          <w:color w:val="000000"/>
          <w:highlight w:val="yellow"/>
        </w:rPr>
        <w:t>ების კლების ტენდენცია</w:t>
      </w:r>
      <w:r w:rsidRPr="0090112C">
        <w:rPr>
          <w:rFonts w:ascii="Sylfaen" w:eastAsia="Sylfaen" w:hAnsi="Sylfaen" w:cs="Calibri"/>
          <w:color w:val="000000"/>
          <w:highlight w:val="yellow"/>
        </w:rPr>
        <w:t xml:space="preserve"> </w:t>
      </w:r>
      <w:r w:rsidR="00687300" w:rsidRPr="0090112C">
        <w:rPr>
          <w:rFonts w:ascii="Sylfaen" w:eastAsia="Sylfaen" w:hAnsi="Sylfaen" w:cs="Calibri"/>
          <w:color w:val="000000"/>
          <w:highlight w:val="yellow"/>
        </w:rPr>
        <w:t>შენარჩუნებულია</w:t>
      </w:r>
      <w:r w:rsidR="00356896" w:rsidRPr="0090112C">
        <w:rPr>
          <w:rFonts w:ascii="Sylfaen" w:eastAsia="Sylfaen" w:hAnsi="Sylfaen" w:cs="Calibri"/>
          <w:color w:val="000000"/>
          <w:highlight w:val="yellow"/>
        </w:rPr>
        <w:t>;</w:t>
      </w:r>
    </w:p>
    <w:p w14:paraId="05759795" w14:textId="77777777"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90112C">
        <w:rPr>
          <w:rFonts w:ascii="Sylfaen" w:eastAsia="Sylfaen" w:hAnsi="Sylfaen" w:cs="Calibri"/>
          <w:color w:val="000000"/>
          <w:lang w:val="ka-GE"/>
        </w:rPr>
        <w:t xml:space="preserve">სათემო </w:t>
      </w:r>
      <w:r w:rsidRPr="0090112C">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დიაბეტის მქონე </w:t>
      </w:r>
      <w:r w:rsidR="00E94BC3" w:rsidRPr="0090112C">
        <w:rPr>
          <w:rFonts w:ascii="Sylfaen" w:eastAsia="Sylfaen" w:hAnsi="Sylfaen" w:cs="Calibri"/>
          <w:color w:val="000000"/>
        </w:rPr>
        <w:t xml:space="preserve">პროგრამით მოსარგებლე </w:t>
      </w:r>
      <w:r w:rsidRPr="0090112C">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 xml:space="preserve">ტუბერკულოზითა და </w:t>
      </w:r>
      <w:r w:rsidRPr="0090112C">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90112C" w:rsidRDefault="00B44B2A"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გაუმჯობესებულია  იმუნიზაციით მოცვის მაჩვენებელი;</w:t>
      </w:r>
      <w:r w:rsidR="00CF53FF" w:rsidRPr="0090112C">
        <w:rPr>
          <w:rFonts w:ascii="Sylfaen" w:eastAsia="Sylfaen" w:hAnsi="Sylfaen" w:cs="Calibri"/>
          <w:color w:val="000000"/>
        </w:rPr>
        <w:t xml:space="preserve"> </w:t>
      </w:r>
    </w:p>
    <w:p w14:paraId="3F47F87C" w14:textId="12E2345C"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90112C">
        <w:rPr>
          <w:rFonts w:ascii="Sylfaen" w:eastAsia="Sylfaen" w:hAnsi="Sylfaen" w:cs="Calibri"/>
          <w:color w:val="000000"/>
          <w:lang w:val="ka-GE"/>
        </w:rPr>
        <w:t>,</w:t>
      </w:r>
      <w:r w:rsidRPr="0090112C">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90112C">
        <w:rPr>
          <w:rFonts w:ascii="Sylfaen" w:eastAsia="Sylfaen" w:hAnsi="Sylfaen" w:cs="Calibri"/>
          <w:color w:val="000000"/>
          <w:lang w:val="ka-GE"/>
        </w:rPr>
        <w:t>;</w:t>
      </w:r>
    </w:p>
    <w:p w14:paraId="527B2614" w14:textId="55512469"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პირველად/ამბულატორიული მომსახურება</w:t>
      </w:r>
      <w:r w:rsidR="00356896" w:rsidRPr="0090112C">
        <w:rPr>
          <w:rFonts w:ascii="Sylfaen" w:eastAsia="Sylfaen" w:hAnsi="Sylfaen" w:cs="Calibri"/>
          <w:color w:val="000000"/>
          <w:lang w:val="ka-GE"/>
        </w:rPr>
        <w:t>ზე</w:t>
      </w:r>
      <w:r w:rsidR="00847BA7" w:rsidRPr="0090112C">
        <w:rPr>
          <w:rFonts w:ascii="Sylfaen" w:eastAsia="Sylfaen" w:hAnsi="Sylfaen" w:cs="Calibri"/>
          <w:color w:val="000000"/>
          <w:lang w:val="ka-GE"/>
        </w:rPr>
        <w:t xml:space="preserve"> გაზრდილია უტილიზაციის მაჩვენებელი</w:t>
      </w:r>
      <w:r w:rsidR="00C90860" w:rsidRPr="0090112C">
        <w:rPr>
          <w:rFonts w:ascii="Sylfaen" w:eastAsia="Sylfaen" w:hAnsi="Sylfaen" w:cs="Calibri"/>
          <w:color w:val="000000"/>
        </w:rPr>
        <w:t>.</w:t>
      </w:r>
    </w:p>
    <w:p w14:paraId="24EEC183" w14:textId="27F8D791" w:rsidR="0038292D" w:rsidRPr="0090112C"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90112C">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77777777" w:rsidR="00CF53FF" w:rsidRPr="0090112C" w:rsidRDefault="00CF53FF" w:rsidP="00C90860">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lastRenderedPageBreak/>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7AEE42F2" w:rsidR="00B45D2D" w:rsidRPr="0090112C"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სახელმწიფოს მიერ</w:t>
      </w:r>
      <w:r w:rsidR="004B4604" w:rsidRPr="0090112C">
        <w:rPr>
          <w:rFonts w:ascii="Sylfaen" w:eastAsia="Sylfaen" w:hAnsi="Sylfaen"/>
          <w:color w:val="000000"/>
        </w:rPr>
        <w:t xml:space="preserve"> </w:t>
      </w:r>
      <w:r w:rsidR="00B32ADA" w:rsidRPr="0090112C">
        <w:rPr>
          <w:rFonts w:ascii="Sylfaen" w:eastAsia="Sylfaen" w:hAnsi="Sylfaen"/>
          <w:color w:val="000000"/>
        </w:rPr>
        <w:t xml:space="preserve">ჯანდაცვის შესაბამისი </w:t>
      </w:r>
      <w:r w:rsidR="004B4604" w:rsidRPr="0090112C">
        <w:rPr>
          <w:rFonts w:ascii="Sylfaen" w:eastAsia="Sylfaen" w:hAnsi="Sylfaen"/>
          <w:color w:val="000000"/>
        </w:rPr>
        <w:t xml:space="preserve">პროგრამებით განსაზღვრული </w:t>
      </w:r>
      <w:r w:rsidRPr="0090112C">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74E39CAA" w14:textId="58093B95" w:rsidR="00721AF1" w:rsidRPr="0090112C" w:rsidRDefault="00B405C7" w:rsidP="00721AF1">
      <w:pPr>
        <w:pStyle w:val="Normal00"/>
        <w:jc w:val="both"/>
        <w:rPr>
          <w:rFonts w:ascii="Sylfaen" w:eastAsia="Sylfaen" w:hAnsi="Sylfaen"/>
          <w:color w:val="000000"/>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sz w:val="22"/>
          <w:szCs w:val="22"/>
          <w:lang w:val="ka-GE"/>
        </w:rPr>
        <w:t xml:space="preserve"> - </w:t>
      </w:r>
      <w:r w:rsidRPr="0090112C">
        <w:rPr>
          <w:rFonts w:ascii="Sylfaen" w:hAnsi="Sylfaen" w:cs="Sylfaen"/>
          <w:sz w:val="22"/>
          <w:szCs w:val="22"/>
          <w:lang w:val="ka-GE"/>
        </w:rPr>
        <w:t>საქართველოს</w:t>
      </w:r>
      <w:r w:rsidRPr="0090112C">
        <w:rPr>
          <w:rFonts w:ascii="Sylfaen" w:hAnsi="Sylfaen"/>
          <w:sz w:val="22"/>
          <w:szCs w:val="22"/>
          <w:lang w:val="ka-GE"/>
        </w:rPr>
        <w:t xml:space="preserve"> </w:t>
      </w:r>
      <w:r w:rsidRPr="0090112C">
        <w:rPr>
          <w:rFonts w:ascii="Sylfaen" w:hAnsi="Sylfaen" w:cs="Sylfaen"/>
          <w:sz w:val="22"/>
          <w:szCs w:val="22"/>
          <w:lang w:val="ka-GE"/>
        </w:rPr>
        <w:t>მოსახლეობისათვის</w:t>
      </w:r>
      <w:r w:rsidRPr="0090112C">
        <w:rPr>
          <w:rFonts w:ascii="Sylfaen" w:hAnsi="Sylfaen"/>
          <w:sz w:val="22"/>
          <w:szCs w:val="22"/>
          <w:lang w:val="ka-GE"/>
        </w:rPr>
        <w:t xml:space="preserve"> (</w:t>
      </w:r>
      <w:r w:rsidR="00721AF1" w:rsidRPr="0090112C">
        <w:rPr>
          <w:rFonts w:ascii="Sylfaen" w:hAnsi="Sylfaen"/>
          <w:sz w:val="22"/>
          <w:szCs w:val="22"/>
        </w:rPr>
        <w:t xml:space="preserve">2017 </w:t>
      </w:r>
      <w:r w:rsidR="00721AF1" w:rsidRPr="0090112C">
        <w:rPr>
          <w:rFonts w:ascii="Sylfaen" w:hAnsi="Sylfaen"/>
          <w:sz w:val="22"/>
          <w:szCs w:val="22"/>
          <w:lang w:val="ka-GE"/>
        </w:rPr>
        <w:t>წელს დაფიქსირდა 1 200 000-მდე შემთხვევა</w:t>
      </w:r>
      <w:r w:rsidRPr="0090112C">
        <w:rPr>
          <w:rFonts w:ascii="Sylfaen" w:hAnsi="Sylfaen"/>
          <w:sz w:val="22"/>
          <w:szCs w:val="22"/>
          <w:lang w:val="ka-GE"/>
        </w:rPr>
        <w:t xml:space="preserve">) </w:t>
      </w:r>
      <w:r w:rsidRPr="0090112C">
        <w:rPr>
          <w:rFonts w:ascii="Sylfaen" w:hAnsi="Sylfaen" w:cs="Sylfaen"/>
          <w:sz w:val="22"/>
          <w:szCs w:val="22"/>
          <w:lang w:val="ka-GE"/>
        </w:rPr>
        <w:t>უზრუნველყოფილია</w:t>
      </w:r>
      <w:r w:rsidRPr="0090112C">
        <w:rPr>
          <w:rFonts w:ascii="Sylfaen" w:hAnsi="Sylfaen"/>
          <w:sz w:val="22"/>
          <w:szCs w:val="22"/>
          <w:lang w:val="ka-GE"/>
        </w:rPr>
        <w:t xml:space="preserve"> </w:t>
      </w:r>
      <w:r w:rsidR="004B71A0" w:rsidRPr="0090112C">
        <w:rPr>
          <w:rFonts w:ascii="Sylfaen" w:hAnsi="Sylfaen" w:cs="Helvetica"/>
          <w:sz w:val="22"/>
          <w:szCs w:val="22"/>
          <w:lang w:val="ka-GE"/>
        </w:rPr>
        <w:t xml:space="preserve">შესაბამისი პროგრამებით განსაზღვრულ </w:t>
      </w:r>
      <w:r w:rsidRPr="0090112C">
        <w:rPr>
          <w:rFonts w:ascii="Sylfaen" w:hAnsi="Sylfaen" w:cs="Sylfaen"/>
          <w:sz w:val="22"/>
          <w:szCs w:val="22"/>
          <w:lang w:val="ka-GE"/>
        </w:rPr>
        <w:t>ჯანდაცვის</w:t>
      </w:r>
      <w:r w:rsidRPr="0090112C">
        <w:rPr>
          <w:rFonts w:ascii="Sylfaen" w:hAnsi="Sylfaen"/>
          <w:sz w:val="22"/>
          <w:szCs w:val="22"/>
          <w:lang w:val="ka-GE"/>
        </w:rPr>
        <w:t xml:space="preserve"> </w:t>
      </w:r>
      <w:r w:rsidRPr="0090112C">
        <w:rPr>
          <w:rFonts w:ascii="Sylfaen" w:hAnsi="Sylfaen" w:cs="Sylfaen"/>
          <w:sz w:val="22"/>
          <w:szCs w:val="22"/>
          <w:lang w:val="ka-GE"/>
        </w:rPr>
        <w:t>სერვისებზე</w:t>
      </w:r>
      <w:r w:rsidRPr="0090112C">
        <w:rPr>
          <w:rFonts w:ascii="Sylfaen" w:hAnsi="Sylfaen"/>
          <w:sz w:val="22"/>
          <w:szCs w:val="22"/>
          <w:lang w:val="ka-GE"/>
        </w:rPr>
        <w:t xml:space="preserve"> </w:t>
      </w:r>
      <w:r w:rsidRPr="0090112C">
        <w:rPr>
          <w:rFonts w:ascii="Sylfaen" w:hAnsi="Sylfaen" w:cs="Sylfaen"/>
          <w:sz w:val="22"/>
          <w:szCs w:val="22"/>
          <w:lang w:val="ka-GE"/>
        </w:rPr>
        <w:t>ფინანსური</w:t>
      </w:r>
      <w:r w:rsidRPr="0090112C">
        <w:rPr>
          <w:rFonts w:ascii="Sylfaen" w:hAnsi="Sylfaen"/>
          <w:sz w:val="22"/>
          <w:szCs w:val="22"/>
          <w:lang w:val="ka-GE"/>
        </w:rPr>
        <w:t xml:space="preserve"> </w:t>
      </w:r>
      <w:r w:rsidRPr="0090112C">
        <w:rPr>
          <w:rFonts w:ascii="Sylfaen" w:hAnsi="Sylfaen" w:cs="Sylfaen"/>
          <w:sz w:val="22"/>
          <w:szCs w:val="22"/>
          <w:lang w:val="ka-GE"/>
        </w:rPr>
        <w:t>და</w:t>
      </w:r>
      <w:r w:rsidRPr="0090112C">
        <w:rPr>
          <w:rFonts w:ascii="Sylfaen" w:hAnsi="Sylfaen"/>
          <w:sz w:val="22"/>
          <w:szCs w:val="22"/>
          <w:lang w:val="ka-GE"/>
        </w:rPr>
        <w:t xml:space="preserve"> </w:t>
      </w:r>
      <w:r w:rsidRPr="0090112C">
        <w:rPr>
          <w:rFonts w:ascii="Sylfaen" w:hAnsi="Sylfaen" w:cs="Sylfaen"/>
          <w:sz w:val="22"/>
          <w:szCs w:val="22"/>
          <w:lang w:val="ka-GE"/>
        </w:rPr>
        <w:t>გეოგრაფიული</w:t>
      </w:r>
      <w:r w:rsidRPr="0090112C">
        <w:rPr>
          <w:rFonts w:ascii="Sylfaen" w:hAnsi="Sylfaen"/>
          <w:sz w:val="22"/>
          <w:szCs w:val="22"/>
          <w:lang w:val="ka-GE"/>
        </w:rPr>
        <w:t xml:space="preserve"> </w:t>
      </w:r>
      <w:r w:rsidRPr="0090112C">
        <w:rPr>
          <w:rFonts w:ascii="Sylfaen" w:hAnsi="Sylfaen" w:cs="Sylfaen"/>
          <w:sz w:val="22"/>
          <w:szCs w:val="22"/>
          <w:lang w:val="ka-GE"/>
        </w:rPr>
        <w:t>ხელმისაწვდომობა</w:t>
      </w:r>
      <w:r w:rsidRPr="0090112C">
        <w:rPr>
          <w:rFonts w:ascii="Sylfaen" w:hAnsi="Sylfaen"/>
          <w:sz w:val="22"/>
          <w:szCs w:val="22"/>
          <w:lang w:val="ka-GE"/>
        </w:rPr>
        <w:t xml:space="preserve">; </w:t>
      </w:r>
      <w:r w:rsidR="00721AF1" w:rsidRPr="0090112C">
        <w:rPr>
          <w:rFonts w:ascii="Sylfaen" w:eastAsia="Sylfaen" w:hAnsi="Sylfaen"/>
          <w:color w:val="000000"/>
          <w:sz w:val="22"/>
          <w:szCs w:val="22"/>
        </w:rPr>
        <w:t xml:space="preserve">ჰოსპიტალიზაციის მაჩვენებელი (100 მოსახლეზე): 13,3; ამბულატორიული მიმართვების რაოდენობა 1 სულ მოსახლეზე - 3,9; </w:t>
      </w:r>
      <w:r w:rsidR="00016310" w:rsidRPr="0090112C">
        <w:rPr>
          <w:rFonts w:ascii="Sylfaen" w:eastAsia="Sylfaen" w:hAnsi="Sylfaen"/>
          <w:color w:val="000000"/>
          <w:sz w:val="22"/>
          <w:szCs w:val="22"/>
          <w:lang w:val="ka-GE"/>
        </w:rPr>
        <w:t>(2016 წელი)</w:t>
      </w:r>
    </w:p>
    <w:p w14:paraId="3AABCBE3" w14:textId="77777777" w:rsidR="0090112C" w:rsidRDefault="0090112C" w:rsidP="00721AF1">
      <w:pPr>
        <w:pStyle w:val="Normal00"/>
        <w:jc w:val="both"/>
        <w:rPr>
          <w:rFonts w:ascii="Sylfaen" w:hAnsi="Sylfaen" w:cs="Sylfaen"/>
          <w:b/>
          <w:sz w:val="22"/>
          <w:szCs w:val="22"/>
          <w:lang w:val="ka-GE"/>
        </w:rPr>
      </w:pPr>
    </w:p>
    <w:p w14:paraId="44AC7957" w14:textId="0717E4A9" w:rsidR="00721AF1" w:rsidRPr="0090112C" w:rsidRDefault="00096C93" w:rsidP="00721AF1">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405C7" w:rsidRPr="0090112C">
        <w:rPr>
          <w:rFonts w:ascii="Sylfaen" w:hAnsi="Sylfaen" w:cs="Sylfaen"/>
          <w:b/>
          <w:sz w:val="22"/>
          <w:szCs w:val="22"/>
          <w:lang w:val="ka-GE"/>
        </w:rPr>
        <w:t>მიზნობრივი</w:t>
      </w:r>
      <w:r w:rsidR="00B405C7" w:rsidRPr="0090112C">
        <w:rPr>
          <w:rFonts w:ascii="Sylfaen" w:hAnsi="Sylfaen"/>
          <w:b/>
          <w:sz w:val="22"/>
          <w:szCs w:val="22"/>
          <w:lang w:val="ka-GE"/>
        </w:rPr>
        <w:t xml:space="preserve"> </w:t>
      </w:r>
      <w:r w:rsidR="00B405C7" w:rsidRPr="0090112C">
        <w:rPr>
          <w:rFonts w:ascii="Sylfaen" w:hAnsi="Sylfaen" w:cs="Sylfaen"/>
          <w:b/>
          <w:sz w:val="22"/>
          <w:szCs w:val="22"/>
          <w:lang w:val="ka-GE"/>
        </w:rPr>
        <w:t>მაჩვენებელი</w:t>
      </w:r>
      <w:r w:rsidR="00B405C7" w:rsidRPr="0090112C">
        <w:rPr>
          <w:rFonts w:ascii="Sylfaen" w:hAnsi="Sylfaen"/>
          <w:sz w:val="22"/>
          <w:szCs w:val="22"/>
          <w:lang w:val="ka-GE"/>
        </w:rPr>
        <w:t xml:space="preserve"> - </w:t>
      </w:r>
      <w:r w:rsidR="00721AF1" w:rsidRPr="0090112C">
        <w:rPr>
          <w:rFonts w:ascii="Sylfaen" w:eastAsia="Sylfaen" w:hAnsi="Sylfaen"/>
          <w:color w:val="000000"/>
          <w:sz w:val="22"/>
          <w:szCs w:val="22"/>
        </w:rPr>
        <w:t xml:space="preserve">ჰოსპიტალიზაციის მაჩვენებელი </w:t>
      </w:r>
      <w:r w:rsidR="00721AF1" w:rsidRPr="0090112C">
        <w:rPr>
          <w:rFonts w:ascii="Sylfaen" w:eastAsia="Sylfaen" w:hAnsi="Sylfaen"/>
          <w:color w:val="000000"/>
          <w:sz w:val="22"/>
          <w:szCs w:val="22"/>
          <w:lang w:val="ka-GE"/>
        </w:rPr>
        <w:t xml:space="preserve">- </w:t>
      </w:r>
      <w:r w:rsidR="00721AF1" w:rsidRPr="0090112C">
        <w:rPr>
          <w:rFonts w:ascii="Sylfaen" w:eastAsia="Sylfaen" w:hAnsi="Sylfaen"/>
          <w:color w:val="000000"/>
          <w:sz w:val="22"/>
          <w:szCs w:val="22"/>
        </w:rPr>
        <w:t>შენარჩუნებულია საბაზისო მაჩვენებელი; ამბულატორიული მიმართვები</w:t>
      </w:r>
      <w:r w:rsidR="00721AF1" w:rsidRPr="0090112C">
        <w:rPr>
          <w:rFonts w:ascii="Sylfaen" w:eastAsia="Sylfaen" w:hAnsi="Sylfaen"/>
          <w:color w:val="000000"/>
          <w:sz w:val="22"/>
          <w:szCs w:val="22"/>
          <w:lang w:val="ka-GE"/>
        </w:rPr>
        <w:t xml:space="preserve"> - </w:t>
      </w:r>
      <w:r w:rsidR="00721AF1" w:rsidRPr="0090112C">
        <w:rPr>
          <w:rFonts w:ascii="Sylfaen" w:eastAsia="Sylfaen" w:hAnsi="Sylfaen"/>
          <w:color w:val="000000"/>
          <w:sz w:val="22"/>
          <w:szCs w:val="22"/>
        </w:rPr>
        <w:t xml:space="preserve">მიმართვიანობის გაზრდა 0,5%-ით; </w:t>
      </w:r>
    </w:p>
    <w:p w14:paraId="47B84ED5" w14:textId="77777777" w:rsidR="0090112C" w:rsidRDefault="0090112C" w:rsidP="00721AF1">
      <w:pPr>
        <w:jc w:val="both"/>
        <w:rPr>
          <w:rFonts w:ascii="Sylfaen" w:hAnsi="Sylfaen"/>
          <w:b/>
          <w:lang w:val="ka-GE"/>
        </w:rPr>
      </w:pPr>
    </w:p>
    <w:p w14:paraId="58F7B770" w14:textId="04B5117B" w:rsidR="00694974" w:rsidRPr="0090112C" w:rsidRDefault="00096C93" w:rsidP="00721AF1">
      <w:pPr>
        <w:jc w:val="both"/>
        <w:rPr>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56F669D5" w14:textId="167329D8" w:rsidR="00096C93" w:rsidRPr="0090112C" w:rsidRDefault="00721AF1" w:rsidP="00B405C7">
      <w:pPr>
        <w:rPr>
          <w:rFonts w:ascii="Sylfaen" w:hAnsi="Sylfaen"/>
        </w:rPr>
      </w:pPr>
      <w:r w:rsidRPr="0090112C">
        <w:rPr>
          <w:rFonts w:ascii="Sylfaen" w:hAnsi="Sylfaen"/>
          <w:lang w:val="ka-GE"/>
        </w:rPr>
        <w:t xml:space="preserve">2018 </w:t>
      </w:r>
      <w:r w:rsidR="00096C93" w:rsidRPr="0090112C">
        <w:rPr>
          <w:rFonts w:ascii="Sylfaen" w:hAnsi="Sylfaen"/>
          <w:lang w:val="ka-GE"/>
        </w:rPr>
        <w:t>წელს დაფიქსირდა 1 200 000-მდე შემთხვევა</w:t>
      </w:r>
      <w:r w:rsidR="000736B9" w:rsidRPr="0090112C">
        <w:rPr>
          <w:rFonts w:ascii="Sylfaen" w:hAnsi="Sylfaen"/>
          <w:lang w:val="ka-GE"/>
        </w:rPr>
        <w:t>.</w:t>
      </w:r>
      <w:r w:rsidR="00016310" w:rsidRPr="0090112C">
        <w:rPr>
          <w:rFonts w:ascii="Sylfaen" w:hAnsi="Sylfaen"/>
          <w:lang w:val="ka-GE"/>
        </w:rPr>
        <w:t xml:space="preserve"> </w:t>
      </w:r>
      <w:r w:rsidR="00016310" w:rsidRPr="0090112C">
        <w:rPr>
          <w:rFonts w:ascii="Sylfaen" w:hAnsi="Sylfaen"/>
          <w:highlight w:val="yellow"/>
          <w:lang w:val="ka-GE"/>
        </w:rPr>
        <w:t>ჰოსპიტალიზაციის მაჩვენებელი -14,2 (2017 წელი), ამბულატორიული მიმართვები - 3,5 (2017</w:t>
      </w:r>
      <w:r w:rsidR="00897180" w:rsidRPr="0090112C">
        <w:rPr>
          <w:rFonts w:ascii="Sylfaen" w:hAnsi="Sylfaen"/>
          <w:highlight w:val="yellow"/>
        </w:rPr>
        <w:t xml:space="preserve"> </w:t>
      </w:r>
      <w:commentRangeStart w:id="0"/>
      <w:r w:rsidR="00897180" w:rsidRPr="0090112C">
        <w:rPr>
          <w:rFonts w:ascii="Sylfaen" w:hAnsi="Sylfaen"/>
          <w:highlight w:val="yellow"/>
          <w:lang w:val="ka-GE"/>
        </w:rPr>
        <w:t>წელი</w:t>
      </w:r>
      <w:commentRangeEnd w:id="0"/>
      <w:r w:rsidR="0090112C">
        <w:rPr>
          <w:rStyle w:val="CommentReference"/>
        </w:rPr>
        <w:commentReference w:id="0"/>
      </w:r>
      <w:r w:rsidR="00016310" w:rsidRPr="0090112C">
        <w:rPr>
          <w:rFonts w:ascii="Sylfaen" w:hAnsi="Sylfaen"/>
          <w:highlight w:val="yellow"/>
          <w:lang w:val="ka-GE"/>
        </w:rPr>
        <w:t>)</w:t>
      </w:r>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lastRenderedPageBreak/>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r w:rsidR="000736B9" w:rsidRPr="0090112C">
        <w:rPr>
          <w:rFonts w:ascii="Sylfaen" w:eastAsia="Sylfaen" w:hAnsi="Sylfaen" w:cs="Calibri"/>
          <w:color w:val="000000"/>
          <w:highlight w:val="yellow"/>
          <w:lang w:val="ka-GE"/>
        </w:rPr>
        <w:t xml:space="preserve">და ბავშვთა </w:t>
      </w:r>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commentRangeStart w:id="1"/>
      <w:r w:rsidRPr="0090112C">
        <w:rPr>
          <w:rFonts w:ascii="Sylfaen" w:eastAsia="Sylfaen" w:hAnsi="Sylfaen" w:cs="Calibri"/>
          <w:color w:val="000000"/>
          <w:highlight w:val="yellow"/>
        </w:rPr>
        <w:t>ტენდენცია</w:t>
      </w:r>
      <w:commentRangeEnd w:id="1"/>
      <w:r w:rsidR="00A65181">
        <w:rPr>
          <w:rStyle w:val="CommentReference"/>
        </w:rPr>
        <w:commentReference w:id="1"/>
      </w:r>
      <w:r w:rsidRPr="0090112C">
        <w:rPr>
          <w:rFonts w:ascii="Sylfaen" w:eastAsia="Sylfaen" w:hAnsi="Sylfaen" w:cs="Calibri"/>
          <w:color w:val="000000"/>
          <w:highlight w:val="yellow"/>
        </w:rPr>
        <w:t>;</w:t>
      </w:r>
    </w:p>
    <w:p w14:paraId="35A85A38" w14:textId="77777777" w:rsidR="008871AB" w:rsidRPr="0090112C"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საჭირო სამკურნალო და 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p>
    <w:p w14:paraId="2A948D44" w14:textId="77777777" w:rsidR="008871AB" w:rsidRPr="0090112C" w:rsidRDefault="008871AB" w:rsidP="008871AB">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8871AB">
      <w:pPr>
        <w:rPr>
          <w:rFonts w:ascii="Sylfaen" w:hAnsi="Sylfaen"/>
          <w:lang w:val="ka-GE"/>
        </w:rPr>
      </w:pPr>
    </w:p>
    <w:p w14:paraId="6E80F097" w14:textId="6ED65B90" w:rsidR="008871AB" w:rsidRPr="0090112C" w:rsidRDefault="00A65181" w:rsidP="000736B9">
      <w:pPr>
        <w:pStyle w:val="ListParagraph"/>
        <w:spacing w:after="160" w:line="259" w:lineRule="auto"/>
        <w:ind w:left="0"/>
        <w:contextualSpacing/>
        <w:rPr>
          <w:rFonts w:ascii="Sylfaen" w:hAnsi="Sylfaen"/>
          <w:b/>
        </w:rPr>
      </w:pPr>
      <w:r>
        <w:rPr>
          <w:rFonts w:ascii="Sylfaen" w:hAnsi="Sylfaen" w:cs="Sylfaen"/>
          <w:b/>
          <w:lang w:val="ka-GE"/>
        </w:rPr>
        <w:t xml:space="preserve">დაგეგმილი </w:t>
      </w:r>
      <w:r w:rsidR="008871AB" w:rsidRPr="0090112C">
        <w:rPr>
          <w:rFonts w:ascii="Sylfaen" w:hAnsi="Sylfaen" w:cs="Sylfaen"/>
          <w:b/>
          <w:lang w:val="ka-GE"/>
        </w:rPr>
        <w:t>საბაზისო</w:t>
      </w:r>
      <w:r w:rsidR="008871AB" w:rsidRPr="0090112C">
        <w:rPr>
          <w:rFonts w:ascii="Sylfaen" w:hAnsi="Sylfaen"/>
          <w:b/>
          <w:lang w:val="ka-GE"/>
        </w:rPr>
        <w:t xml:space="preserve"> მაჩვენებელი </w:t>
      </w:r>
    </w:p>
    <w:p w14:paraId="639AC8E4" w14:textId="77777777" w:rsidR="008871AB" w:rsidRPr="0090112C"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r w:rsidRPr="0090112C">
        <w:rPr>
          <w:rFonts w:ascii="Sylfaen" w:eastAsia="Sylfaen" w:hAnsi="Sylfaen"/>
          <w:color w:val="000000"/>
        </w:rPr>
        <w:lastRenderedPageBreak/>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90112C" w:rsidRDefault="00A65181" w:rsidP="000736B9">
      <w:pPr>
        <w:rPr>
          <w:rFonts w:ascii="Sylfaen" w:hAnsi="Sylfaen"/>
          <w:b/>
          <w:lang w:val="ka-GE"/>
        </w:rPr>
      </w:pPr>
      <w:r>
        <w:rPr>
          <w:rFonts w:ascii="Sylfaen" w:hAnsi="Sylfaen" w:cs="Sylfaen"/>
          <w:b/>
          <w:lang w:val="ka-GE"/>
        </w:rPr>
        <w:t xml:space="preserve">დაგეგმილი </w:t>
      </w:r>
      <w:r w:rsidR="008871AB" w:rsidRPr="0090112C">
        <w:rPr>
          <w:rFonts w:ascii="Sylfaen" w:hAnsi="Sylfaen" w:cs="Sylfaen"/>
          <w:b/>
          <w:lang w:val="ka-GE"/>
        </w:rPr>
        <w:t>მიზნობრივი</w:t>
      </w:r>
      <w:r w:rsidR="008871AB" w:rsidRPr="0090112C">
        <w:rPr>
          <w:rFonts w:ascii="Sylfaen" w:hAnsi="Sylfaen"/>
          <w:b/>
          <w:lang w:val="ka-GE"/>
        </w:rPr>
        <w:t xml:space="preserve"> მაჩვენებელი </w:t>
      </w:r>
    </w:p>
    <w:p w14:paraId="33F2B693" w14:textId="7B9E6871" w:rsidR="008871AB" w:rsidRPr="0090112C" w:rsidRDefault="008871AB" w:rsidP="000736B9">
      <w:pPr>
        <w:spacing w:after="160" w:line="259" w:lineRule="auto"/>
        <w:contextualSpacing/>
        <w:jc w:val="both"/>
        <w:rPr>
          <w:rFonts w:ascii="Sylfaen" w:eastAsia="Sylfaen" w:hAnsi="Sylfaen"/>
          <w:color w:val="000000"/>
          <w:lang w:val="ka-GE"/>
        </w:rPr>
      </w:pPr>
      <w:r w:rsidRPr="0090112C">
        <w:rPr>
          <w:rFonts w:ascii="Sylfaen" w:eastAsia="Sylfaen" w:hAnsi="Sylfaen" w:cs="Sylfaen"/>
          <w:color w:val="000000"/>
        </w:rPr>
        <w:t>გაგრძელდება</w:t>
      </w:r>
      <w:r w:rsidRPr="0090112C">
        <w:rPr>
          <w:rFonts w:ascii="Sylfaen" w:eastAsia="Sylfaen" w:hAnsi="Sylfaen"/>
          <w:color w:val="000000"/>
        </w:rPr>
        <w:t xml:space="preserve"> და შენარჩუნებული იქნება მოსახლეობის უზრუნველყოფა </w:t>
      </w:r>
      <w:r w:rsidR="008E009B" w:rsidRPr="0090112C">
        <w:rPr>
          <w:rFonts w:ascii="Sylfaen" w:eastAsia="Sylfaen" w:hAnsi="Sylfaen"/>
          <w:color w:val="000000"/>
        </w:rPr>
        <w:t xml:space="preserve">ჯანდაცვის შესაბამისი პროგრამებით მოცული </w:t>
      </w:r>
      <w:r w:rsidRPr="0090112C">
        <w:rPr>
          <w:rFonts w:ascii="Sylfaen" w:eastAsia="Sylfaen" w:hAnsi="Sylfaen"/>
          <w:color w:val="000000"/>
        </w:rPr>
        <w:t>სამედიცინო მომსახურებით</w:t>
      </w:r>
      <w:r w:rsidR="00C30E2C" w:rsidRPr="0090112C">
        <w:rPr>
          <w:rFonts w:ascii="Sylfaen" w:eastAsia="Sylfaen" w:hAnsi="Sylfaen"/>
          <w:color w:val="000000"/>
          <w:lang w:val="ka-GE"/>
        </w:rPr>
        <w:t>.</w:t>
      </w:r>
    </w:p>
    <w:p w14:paraId="0152F222"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706BC99E"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lastRenderedPageBreak/>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Pr="0090112C">
        <w:rPr>
          <w:rFonts w:ascii="Sylfaen" w:eastAsia="Times New Roman" w:hAnsi="Sylfaen" w:cs="Sylfaen"/>
          <w:color w:val="000000"/>
          <w:lang w:val="ka-GE"/>
        </w:rPr>
        <w:t>კვლევა,</w:t>
      </w:r>
      <w:r w:rsidR="002371D8" w:rsidRPr="0090112C">
        <w:rPr>
          <w:rFonts w:ascii="Sylfaen" w:eastAsia="Times New Roman" w:hAnsi="Sylfaen" w:cs="Sylfaen"/>
          <w:color w:val="000000"/>
          <w:lang w:val="ka-GE"/>
        </w:rPr>
        <w:t xml:space="preserve"> 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C806859"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40-70 ასაკობრივი ჯგუფის ქალებში ძუძუს კიბოს სკრინინგი</w:t>
      </w:r>
      <w:r w:rsidR="00816C5B" w:rsidRPr="0090112C">
        <w:rPr>
          <w:rFonts w:ascii="Sylfaen" w:eastAsia="Sylfaen" w:hAnsi="Sylfaen"/>
          <w:color w:val="000000"/>
        </w:rPr>
        <w:t>ს სერვისის უწყვეტად მიწოდება</w:t>
      </w:r>
      <w:r w:rsidRPr="0090112C">
        <w:rPr>
          <w:rFonts w:ascii="Sylfaen" w:eastAsia="Sylfaen" w:hAnsi="Sylfaen"/>
          <w:color w:val="000000"/>
        </w:rPr>
        <w:t>;</w:t>
      </w:r>
    </w:p>
    <w:p w14:paraId="2DA871EE" w14:textId="4564F56E"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90112C">
        <w:rPr>
          <w:rFonts w:ascii="Sylfaen" w:eastAsia="Sylfaen" w:hAnsi="Sylfaen"/>
          <w:color w:val="000000"/>
        </w:rPr>
        <w:t>ს სერვისის უწყვეტად მიწოდება;</w:t>
      </w:r>
    </w:p>
    <w:p w14:paraId="322777D3" w14:textId="78E963CC"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 xml:space="preserve">50-70 ასაკობრივი ჯგუფის კაცებში პროსტატის კიბოს </w:t>
      </w:r>
      <w:r w:rsidR="005A362E" w:rsidRPr="0090112C">
        <w:rPr>
          <w:rFonts w:ascii="Sylfaen" w:eastAsia="Sylfaen" w:hAnsi="Sylfaen"/>
          <w:color w:val="000000"/>
          <w:lang w:val="ka-GE"/>
        </w:rPr>
        <w:t>მართვა</w:t>
      </w:r>
      <w:r w:rsidR="00613709" w:rsidRPr="0090112C">
        <w:rPr>
          <w:rFonts w:ascii="Sylfaen" w:eastAsia="Sylfaen" w:hAnsi="Sylfaen"/>
          <w:color w:val="000000"/>
          <w:lang w:val="ka-GE"/>
        </w:rPr>
        <w:t>;</w:t>
      </w:r>
      <w:r w:rsidR="005A362E" w:rsidRPr="0090112C">
        <w:rPr>
          <w:rFonts w:ascii="Sylfaen" w:eastAsia="Sylfaen" w:hAnsi="Sylfaen"/>
          <w:color w:val="000000"/>
        </w:rPr>
        <w:t xml:space="preserve"> </w:t>
      </w:r>
    </w:p>
    <w:p w14:paraId="068A0C64" w14:textId="4D284B69" w:rsidR="00CE0343" w:rsidRPr="0090112C" w:rsidRDefault="00CE0343"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hAnsi="Sylfaen"/>
          <w:lang w:val="ka-GE"/>
        </w:rPr>
        <w:t>50-70 ასაკობრივი ჯგუფის მოსახლეობაში კოლორექტალური კიბოს სკრინინგი</w:t>
      </w:r>
      <w:r w:rsidR="00816C5B" w:rsidRPr="0090112C">
        <w:rPr>
          <w:rFonts w:ascii="Sylfaen" w:hAnsi="Sylfaen"/>
          <w:lang w:val="ka-GE"/>
        </w:rPr>
        <w:t xml:space="preserve">ს </w:t>
      </w:r>
      <w:r w:rsidR="00816C5B" w:rsidRPr="0090112C">
        <w:rPr>
          <w:rFonts w:ascii="Sylfaen" w:eastAsia="Sylfaen" w:hAnsi="Sylfaen"/>
          <w:color w:val="000000"/>
        </w:rPr>
        <w:t>სერვისის უწყვეტად მიწოდება;</w:t>
      </w:r>
    </w:p>
    <w:p w14:paraId="2F2CB49E" w14:textId="1DE1DBCE" w:rsidR="008871AB" w:rsidRPr="0090112C" w:rsidRDefault="00665A00"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lang w:val="ka-GE"/>
        </w:rPr>
        <w:t>1</w:t>
      </w:r>
      <w:r w:rsidR="008871AB" w:rsidRPr="0090112C">
        <w:rPr>
          <w:rFonts w:ascii="Sylfaen" w:eastAsia="Sylfaen" w:hAnsi="Sylfaen"/>
          <w:color w:val="000000"/>
        </w:rPr>
        <w:t xml:space="preserve">-6 ასაკის ბავშვებში </w:t>
      </w:r>
      <w:r w:rsidR="00816C5B" w:rsidRPr="0090112C">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90112C">
        <w:rPr>
          <w:rFonts w:ascii="Sylfaen" w:eastAsia="Sylfaen" w:hAnsi="Sylfaen" w:cs="Helvetica"/>
          <w:color w:val="000000"/>
        </w:rPr>
        <w:t>გონებრივი</w:t>
      </w:r>
      <w:r w:rsidR="008871AB" w:rsidRPr="0090112C">
        <w:rPr>
          <w:rFonts w:ascii="Sylfaen" w:eastAsia="Sylfaen" w:hAnsi="Sylfaen"/>
          <w:color w:val="000000"/>
        </w:rPr>
        <w:t xml:space="preserve"> ჩამორჩენის </w:t>
      </w:r>
      <w:r w:rsidR="00816C5B" w:rsidRPr="0090112C">
        <w:rPr>
          <w:rFonts w:ascii="Sylfaen" w:eastAsia="Sylfaen" w:hAnsi="Sylfaen"/>
          <w:color w:val="000000"/>
        </w:rPr>
        <w:t xml:space="preserve">შემთხვევების </w:t>
      </w:r>
      <w:r w:rsidR="008871AB" w:rsidRPr="0090112C">
        <w:rPr>
          <w:rFonts w:ascii="Sylfaen" w:eastAsia="Sylfaen" w:hAnsi="Sylfaen"/>
          <w:color w:val="000000"/>
        </w:rPr>
        <w:t>ადრეული გამოვლენა;</w:t>
      </w:r>
    </w:p>
    <w:p w14:paraId="6119D881" w14:textId="7CBA2D72"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ეპილეფსიის პირველადი დიაგნოსტიკ</w:t>
      </w:r>
      <w:r w:rsidR="00FC1FF6" w:rsidRPr="0090112C">
        <w:rPr>
          <w:rFonts w:ascii="Sylfaen" w:eastAsia="Sylfaen" w:hAnsi="Sylfaen"/>
          <w:color w:val="000000"/>
        </w:rPr>
        <w:t>ის სერვისების უწყვეტად მიწოდება</w:t>
      </w:r>
      <w:r w:rsidRPr="0090112C">
        <w:rPr>
          <w:rFonts w:ascii="Sylfaen" w:eastAsia="Sylfaen" w:hAnsi="Sylfaen"/>
          <w:color w:val="000000"/>
        </w:rPr>
        <w:t>.</w:t>
      </w:r>
    </w:p>
    <w:p w14:paraId="5FF89530" w14:textId="77777777" w:rsidR="00845053" w:rsidRDefault="00845053" w:rsidP="00E55FE7">
      <w:pPr>
        <w:rPr>
          <w:rFonts w:ascii="Sylfaen" w:hAnsi="Sylfaen" w:cs="Sylfaen"/>
          <w:b/>
        </w:rPr>
      </w:pPr>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656E7F">
      <w:pPr>
        <w:pStyle w:val="Normal00"/>
        <w:numPr>
          <w:ilvl w:val="0"/>
          <w:numId w:val="38"/>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77777777" w:rsidR="00845053" w:rsidRPr="0090112C" w:rsidRDefault="00845053" w:rsidP="00845053">
      <w:pPr>
        <w:pStyle w:val="Normal00"/>
        <w:ind w:left="720"/>
        <w:jc w:val="both"/>
        <w:rPr>
          <w:rFonts w:ascii="Sylfaen" w:eastAsia="Sylfaen" w:hAnsi="Sylfaen"/>
          <w:color w:val="000000"/>
          <w:sz w:val="22"/>
          <w:szCs w:val="22"/>
        </w:rPr>
      </w:pPr>
      <w:r w:rsidRPr="00845053">
        <w:rPr>
          <w:rFonts w:ascii="Sylfaen" w:hAnsi="Sylfaen" w:cs="Sylfaen"/>
          <w:sz w:val="22"/>
          <w:szCs w:val="22"/>
          <w:highlight w:val="yellow"/>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46,2%-ს, ხოლო 2017 წელს 25%-ს (შემცირებულია 21,2</w:t>
      </w:r>
      <w:commentRangeStart w:id="2"/>
      <w:r w:rsidRPr="00845053">
        <w:rPr>
          <w:rFonts w:ascii="Sylfaen" w:hAnsi="Sylfaen" w:cs="Sylfaen"/>
          <w:sz w:val="22"/>
          <w:szCs w:val="22"/>
          <w:highlight w:val="yellow"/>
          <w:lang w:val="ka-GE"/>
        </w:rPr>
        <w:t>%-ით</w:t>
      </w:r>
      <w:commentRangeEnd w:id="2"/>
      <w:r>
        <w:rPr>
          <w:rStyle w:val="CommentReference"/>
          <w:rFonts w:asciiTheme="minorHAnsi" w:eastAsiaTheme="minorEastAsia" w:hAnsiTheme="minorHAnsi" w:cstheme="minorBidi"/>
        </w:rPr>
        <w:commentReference w:id="2"/>
      </w:r>
      <w:r w:rsidRPr="00845053">
        <w:rPr>
          <w:rFonts w:ascii="Sylfaen" w:hAnsi="Sylfaen" w:cs="Sylfaen"/>
          <w:sz w:val="22"/>
          <w:szCs w:val="22"/>
          <w:highlight w:val="yellow"/>
          <w:lang w:val="ka-GE"/>
        </w:rPr>
        <w:t>)</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lastRenderedPageBreak/>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08CDBC4C" w:rsidR="00845053" w:rsidRDefault="00845053" w:rsidP="009E7163">
      <w:pPr>
        <w:pStyle w:val="ListParagraph"/>
        <w:spacing w:after="160" w:line="259" w:lineRule="auto"/>
        <w:contextualSpacing/>
        <w:jc w:val="both"/>
        <w:rPr>
          <w:rFonts w:ascii="Sylfaen" w:hAnsi="Sylfaen" w:cs="Sylfaen"/>
          <w:lang w:val="ka-GE"/>
        </w:rPr>
      </w:pPr>
      <w:r w:rsidRPr="00845053">
        <w:rPr>
          <w:rFonts w:ascii="Sylfaen" w:hAnsi="Sylfaen" w:cs="Sylfaen"/>
          <w:highlight w:val="yellow"/>
          <w:lang w:val="ka-GE"/>
        </w:rPr>
        <w:t xml:space="preserve">საშვილოსნოს ყელის კიბოს ახლად გამოვლენილ შემთხვევებში მე–4 და მე–3 სტადიაზე გამოვლენილი </w:t>
      </w:r>
      <w:commentRangeStart w:id="3"/>
      <w:r w:rsidRPr="00845053">
        <w:rPr>
          <w:rFonts w:ascii="Sylfaen" w:hAnsi="Sylfaen" w:cs="Sylfaen"/>
          <w:highlight w:val="yellow"/>
          <w:lang w:val="ka-GE"/>
        </w:rPr>
        <w:t>შემთხვევები</w:t>
      </w:r>
      <w:commentRangeEnd w:id="3"/>
      <w:r>
        <w:rPr>
          <w:rStyle w:val="CommentReference"/>
          <w:rFonts w:asciiTheme="minorHAnsi" w:hAnsiTheme="minorHAnsi" w:cstheme="minorBidi"/>
        </w:rPr>
        <w:commentReference w:id="3"/>
      </w:r>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77777777"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656E7F">
      <w:pPr>
        <w:pStyle w:val="ListParagraph"/>
        <w:numPr>
          <w:ilvl w:val="3"/>
          <w:numId w:val="33"/>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51022E42" w14:textId="2B38A4F2" w:rsidR="002371D8" w:rsidRPr="0090112C" w:rsidRDefault="002371D8" w:rsidP="00E7706D">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რუტინული</w:t>
      </w:r>
      <w:r w:rsidR="00F91100">
        <w:rPr>
          <w:rFonts w:ascii="Sylfaen" w:eastAsia="Times New Roman" w:hAnsi="Sylfaen" w:cs="Sylfaen"/>
          <w:color w:val="000000"/>
        </w:rPr>
        <w:t xml:space="preserve"> </w:t>
      </w:r>
      <w:r w:rsidR="00E7706D" w:rsidRPr="0090112C">
        <w:rPr>
          <w:rFonts w:ascii="Sylfaen" w:eastAsia="Times New Roman" w:hAnsi="Sylfaen" w:cs="Sylfaen"/>
          <w:color w:val="000000"/>
          <w:lang w:val="ka-GE"/>
        </w:rPr>
        <w:t>ვაქცინაციის</w:t>
      </w:r>
      <w:r w:rsidRPr="0090112C">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Pr>
          <w:rFonts w:ascii="Sylfaen" w:eastAsia="Times New Roman" w:hAnsi="Sylfaen" w:cs="Sylfaen"/>
          <w:color w:val="000000"/>
          <w:lang w:val="ka-GE"/>
        </w:rPr>
        <w:t>დ</w:t>
      </w:r>
      <w:r w:rsidR="00E7706D" w:rsidRPr="0090112C">
        <w:rPr>
          <w:rFonts w:ascii="Sylfaen" w:eastAsia="Times New Roman" w:hAnsi="Sylfaen" w:cs="Sylfaen"/>
          <w:color w:val="000000"/>
          <w:lang w:val="ka-GE"/>
        </w:rPr>
        <w:t xml:space="preserve"> </w:t>
      </w:r>
      <w:r w:rsidRPr="0090112C">
        <w:rPr>
          <w:rFonts w:ascii="Sylfaen" w:eastAsia="Times New Roman" w:hAnsi="Sylfaen" w:cs="Sylfaen"/>
          <w:color w:val="000000"/>
          <w:lang w:val="ka-GE"/>
        </w:rPr>
        <w:t>48</w:t>
      </w:r>
      <w:r w:rsidR="008A0A4B">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პოლიომიელიტის საწინააღმდეგოდ ჩატარებულია (15 წლამდე ასაკი) 114 678 აცრა, დაიხარჯა 196 619 დოზა ბოპ ვაქცინა; ჰექსა ვაქცინით (2 თვე–2 წლამდე ბავშვები) 144 787 აცრა, დაიხარჯა 149 574 დოზა დყტ+ჰეპB+ჰიბ +იპვ;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დიფთერია - ტეტანუსის საწინააღმდეგო ვაქცინით (1–6 წელი) ჩატარებულია 59 815 აცრა– დაიხარჯა 88 095 დოზა დტ ვაქცინა; ტეტანუსი–დიფთერიის საწინააღმდეგოდ (7–14 წელი) 42 666 აცრა, დაიხარჯა 59 541 დოზა ტდ ვაქცინა;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პნევმოკოკის </w:t>
      </w:r>
      <w:r w:rsidRPr="0090112C">
        <w:rPr>
          <w:rFonts w:ascii="Sylfaen" w:eastAsia="Times New Roman" w:hAnsi="Sylfaen" w:cs="Sylfaen"/>
          <w:color w:val="000000"/>
          <w:lang w:val="ka-GE"/>
        </w:rPr>
        <w:lastRenderedPageBreak/>
        <w:t xml:space="preserve">საწინააღმდეგოდ (2 თვე–2 წლამდე ბავშვები) ჩატარებულია 136 253 აცრა, დაიხარჯა 158 055 დოზა პკვ ვაქცინა; </w:t>
      </w:r>
    </w:p>
    <w:p w14:paraId="1A78D565" w14:textId="603550EB" w:rsidR="00E7706D" w:rsidRPr="0090112C" w:rsidRDefault="00E7706D" w:rsidP="00E7706D">
      <w:pPr>
        <w:numPr>
          <w:ilvl w:val="0"/>
          <w:numId w:val="6"/>
        </w:numPr>
        <w:spacing w:after="24" w:line="247" w:lineRule="auto"/>
        <w:jc w:val="both"/>
        <w:rPr>
          <w:rFonts w:ascii="Sylfaen" w:hAnsi="Sylfaen"/>
        </w:rPr>
      </w:pPr>
      <w:r w:rsidRPr="0090112C">
        <w:rPr>
          <w:rFonts w:ascii="Sylfaen" w:hAnsi="Sylfaen"/>
        </w:rPr>
        <w:t>ადამიანის პაპილომავირუსის საწინააღმდეგოდ ქ.</w:t>
      </w:r>
      <w:r w:rsidR="008A0A4B">
        <w:rPr>
          <w:rFonts w:ascii="Sylfaen" w:hAnsi="Sylfaen"/>
          <w:lang w:val="ka-GE"/>
        </w:rPr>
        <w:t xml:space="preserve"> </w:t>
      </w:r>
      <w:r w:rsidRPr="0090112C">
        <w:rPr>
          <w:rFonts w:ascii="Sylfaen" w:hAnsi="Sylfaen"/>
        </w:rPr>
        <w:t xml:space="preserve">თბილისში, ქუთაისში და აჭარის ა/რ-ში ჩატარებულია </w:t>
      </w:r>
      <w:r w:rsidRPr="0090112C">
        <w:rPr>
          <w:rFonts w:ascii="Sylfaen" w:hAnsi="Sylfaen"/>
          <w:lang w:val="ka-GE"/>
        </w:rPr>
        <w:t>10 442</w:t>
      </w:r>
      <w:r w:rsidRPr="0090112C">
        <w:rPr>
          <w:rFonts w:ascii="Sylfaen" w:hAnsi="Sylfaen"/>
        </w:rPr>
        <w:t xml:space="preserve"> აცრა, რაზედაც გაიხარჯა </w:t>
      </w:r>
      <w:r w:rsidRPr="0090112C">
        <w:rPr>
          <w:rFonts w:ascii="Sylfaen" w:hAnsi="Sylfaen"/>
          <w:lang w:val="ka-GE"/>
        </w:rPr>
        <w:t>10 508</w:t>
      </w:r>
      <w:r w:rsidRPr="0090112C">
        <w:rPr>
          <w:rFonts w:ascii="Sylfaen" w:hAnsi="Sylfaen"/>
        </w:rPr>
        <w:t xml:space="preserve"> დოზა ვაქცინა;</w:t>
      </w:r>
    </w:p>
    <w:p w14:paraId="5EA9C23F" w14:textId="2C15C39A" w:rsidR="002371D8" w:rsidRPr="0090112C" w:rsidRDefault="002E6732"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ტეტანუსის 7 შემთხვევა;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lastRenderedPageBreak/>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656E7F">
      <w:pPr>
        <w:pStyle w:val="Normal00"/>
        <w:numPr>
          <w:ilvl w:val="0"/>
          <w:numId w:val="39"/>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3220C242" w:rsidR="00332A64" w:rsidRPr="0090112C"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656E7F">
      <w:pPr>
        <w:pStyle w:val="ListParagraph"/>
        <w:numPr>
          <w:ilvl w:val="3"/>
          <w:numId w:val="33"/>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4F8AEC0A"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90112C">
        <w:rPr>
          <w:rFonts w:ascii="Sylfaen" w:hAnsi="Sylfaen"/>
          <w:lang w:val="ka-GE"/>
        </w:rPr>
        <w:t xml:space="preserve"> </w:t>
      </w:r>
      <w:r w:rsidRPr="0090112C">
        <w:rPr>
          <w:rFonts w:ascii="Sylfaen" w:hAnsi="Sylfaen"/>
          <w:lang w:val="ka-GE"/>
        </w:rPr>
        <w:t>232</w:t>
      </w:r>
      <w:r w:rsidRPr="0090112C">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w:t>
      </w:r>
      <w:r w:rsidRPr="0090112C">
        <w:rPr>
          <w:rFonts w:ascii="Sylfaen" w:hAnsi="Sylfaen"/>
          <w:lang w:val="ka-GE"/>
        </w:rPr>
        <w:t>9</w:t>
      </w:r>
      <w:r w:rsidRPr="0090112C">
        <w:rPr>
          <w:rFonts w:ascii="Sylfaen" w:hAnsi="Sylfaen"/>
        </w:rPr>
        <w:t xml:space="preserve"> ახალი შემთხვევა (ყველა შემთხვევა შემოტანილი იყო აფრიკის</w:t>
      </w:r>
      <w:r w:rsidRPr="0090112C">
        <w:rPr>
          <w:rFonts w:ascii="Sylfaen" w:hAnsi="Sylfaen"/>
          <w:lang w:val="ka-GE"/>
        </w:rPr>
        <w:t>ა და აზიის</w:t>
      </w:r>
      <w:r w:rsidRPr="0090112C">
        <w:rPr>
          <w:rFonts w:ascii="Sylfaen" w:hAnsi="Sylfaen"/>
        </w:rPr>
        <w:t xml:space="preserve">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90112C">
        <w:rPr>
          <w:rFonts w:ascii="Sylfaen" w:hAnsi="Sylfaen"/>
          <w:lang w:val="ka-GE"/>
        </w:rPr>
        <w:t>1 473</w:t>
      </w:r>
      <w:r w:rsidRPr="0090112C">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 (აჭარა, გურია, სამეგრელო, იმერეთი, კახეთი, ქვ. ქართლი</w:t>
      </w:r>
      <w:r w:rsidRPr="0090112C">
        <w:rPr>
          <w:rFonts w:ascii="Sylfaen" w:hAnsi="Sylfaen"/>
          <w:lang w:val="ka-GE"/>
        </w:rPr>
        <w:t>, სამცხე-ჯავახეთი, მცხეთა-მთიანეთი</w:t>
      </w:r>
      <w:r w:rsidRPr="0090112C">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90112C">
        <w:rPr>
          <w:rFonts w:ascii="Sylfaen" w:hAnsi="Sylfaen"/>
          <w:lang w:val="ka-GE"/>
        </w:rPr>
        <w:t xml:space="preserve">9 261 030 </w:t>
      </w:r>
      <w:r w:rsidRPr="0090112C">
        <w:rPr>
          <w:rFonts w:ascii="Sylfaen" w:hAnsi="Sylfaen"/>
        </w:rPr>
        <w:t xml:space="preserve">კვ.მ. ფართობი (გეგმის 73.2%); </w:t>
      </w:r>
    </w:p>
    <w:p w14:paraId="7CF208E8"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კვლევა;  </w:t>
      </w:r>
    </w:p>
    <w:p w14:paraId="6C4CB1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ვირუსული დიარეების კვლევის კომპონენტის ფარგლებში სულ განხორციელდა მწვავე დიარეის </w:t>
      </w:r>
      <w:r w:rsidRPr="0090112C">
        <w:rPr>
          <w:rFonts w:ascii="Sylfaen" w:hAnsi="Sylfaen"/>
          <w:lang w:val="ka-GE"/>
        </w:rPr>
        <w:t>175</w:t>
      </w:r>
      <w:r w:rsidRPr="0090112C">
        <w:rPr>
          <w:rFonts w:ascii="Sylfaen" w:hAnsi="Sylfaen"/>
        </w:rPr>
        <w:t xml:space="preserve"> შემთხვევის ფეკალის ნიმუშის ლაბორატორიული გამოკვლევა; </w:t>
      </w:r>
    </w:p>
    <w:p w14:paraId="5536FA92"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WHO-ს (ჯანდაცვის მსოფლიო ორგანიზაცია) პროექტში ჩართული საყრდენი ბაზიდან მოწოდებულია </w:t>
      </w:r>
      <w:r w:rsidRPr="0090112C">
        <w:rPr>
          <w:rFonts w:ascii="Sylfaen" w:hAnsi="Sylfaen"/>
          <w:lang w:val="ka-GE"/>
        </w:rPr>
        <w:t>257</w:t>
      </w:r>
      <w:r w:rsidRPr="0090112C">
        <w:rPr>
          <w:rFonts w:ascii="Sylfaen" w:hAnsi="Sylfaen"/>
        </w:rPr>
        <w:t xml:space="preserve"> ნიმუშის ლაბორატორიული კვლევა.  </w:t>
      </w: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lastRenderedPageBreak/>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656E7F">
      <w:pPr>
        <w:pStyle w:val="Normal00"/>
        <w:numPr>
          <w:ilvl w:val="0"/>
          <w:numId w:val="42"/>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lastRenderedPageBreak/>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656E7F">
      <w:pPr>
        <w:pStyle w:val="ListParagraph"/>
        <w:numPr>
          <w:ilvl w:val="0"/>
          <w:numId w:val="53"/>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656E7F">
      <w:pPr>
        <w:pStyle w:val="ListParagraph"/>
        <w:numPr>
          <w:ilvl w:val="0"/>
          <w:numId w:val="53"/>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656E7F">
      <w:pPr>
        <w:pStyle w:val="Normal00"/>
        <w:numPr>
          <w:ilvl w:val="0"/>
          <w:numId w:val="42"/>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656E7F">
      <w:pPr>
        <w:pStyle w:val="ListParagraph"/>
        <w:numPr>
          <w:ilvl w:val="0"/>
          <w:numId w:val="58"/>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656E7F">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6A662F" w14:textId="0891E7AA" w:rsidR="009D2CD3" w:rsidRPr="003100C5" w:rsidRDefault="009D2CD3" w:rsidP="003100C5">
      <w:pPr>
        <w:ind w:firstLine="282"/>
        <w:jc w:val="both"/>
        <w:rPr>
          <w:rFonts w:ascii="Sylfaen" w:hAnsi="Sylfaen"/>
          <w:b/>
          <w:highlight w:val="yellow"/>
          <w:lang w:val="ka-GE"/>
        </w:rPr>
      </w:pPr>
      <w:r w:rsidRPr="003100C5">
        <w:rPr>
          <w:rFonts w:ascii="Sylfaen" w:eastAsia="Sylfaen" w:hAnsi="Sylfaen" w:cs="Arial"/>
          <w:highlight w:val="yellow"/>
          <w:lang w:val="ka-GE"/>
        </w:rPr>
        <w:t xml:space="preserve">გამოკვლეულ იქნა საყრდენი ბაზიდან მოწოდებული 226 კლინიკური </w:t>
      </w:r>
      <w:commentRangeStart w:id="4"/>
      <w:r w:rsidRPr="003100C5">
        <w:rPr>
          <w:rFonts w:ascii="Sylfaen" w:eastAsia="Sylfaen" w:hAnsi="Sylfaen" w:cs="Arial"/>
          <w:highlight w:val="yellow"/>
          <w:lang w:val="ka-GE"/>
        </w:rPr>
        <w:t>ნიმუში</w:t>
      </w:r>
      <w:commentRangeEnd w:id="4"/>
      <w:r w:rsidRPr="0090112C">
        <w:rPr>
          <w:rStyle w:val="CommentReference"/>
          <w:rFonts w:ascii="Sylfaen" w:hAnsi="Sylfaen"/>
          <w:sz w:val="22"/>
          <w:szCs w:val="22"/>
        </w:rPr>
        <w:commentReference w:id="4"/>
      </w: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3F3D7F89"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 მათგან </w:t>
      </w:r>
      <w:r w:rsidRPr="0090112C">
        <w:rPr>
          <w:rFonts w:ascii="Sylfaen" w:hAnsi="Sylfaen"/>
          <w:lang w:val="ka-GE"/>
        </w:rPr>
        <w:t>52.1</w:t>
      </w:r>
      <w:r w:rsidRPr="0090112C">
        <w:rPr>
          <w:rFonts w:ascii="Sylfaen" w:hAnsi="Sylfaen"/>
        </w:rPr>
        <w:t xml:space="preserve"> ათასზე მეტი იყო კადრის (რეგულარული) დონორი, </w:t>
      </w:r>
      <w:r w:rsidRPr="0090112C">
        <w:rPr>
          <w:rFonts w:ascii="Sylfaen" w:hAnsi="Sylfaen"/>
          <w:lang w:val="ka-GE"/>
        </w:rPr>
        <w:t>10.6</w:t>
      </w:r>
      <w:r w:rsidRPr="0090112C">
        <w:rPr>
          <w:rFonts w:ascii="Sylfaen" w:hAnsi="Sylfaen"/>
        </w:rPr>
        <w:t xml:space="preserve"> ათასზე მეტი - ნათესავი და </w:t>
      </w:r>
      <w:r w:rsidRPr="0090112C">
        <w:rPr>
          <w:rFonts w:ascii="Sylfaen" w:hAnsi="Sylfaen"/>
          <w:lang w:val="ka-GE"/>
        </w:rPr>
        <w:t>23.5</w:t>
      </w:r>
      <w:r w:rsidRPr="0090112C">
        <w:rPr>
          <w:rFonts w:ascii="Sylfaen" w:hAnsi="Sylfaen"/>
        </w:rPr>
        <w:t xml:space="preserve"> ათას</w:t>
      </w:r>
      <w:r w:rsidRPr="0090112C">
        <w:rPr>
          <w:rFonts w:ascii="Sylfaen" w:hAnsi="Sylfaen"/>
          <w:lang w:val="ka-GE"/>
        </w:rPr>
        <w:t>ი</w:t>
      </w:r>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25AE953"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უანგარო დონაციათა რაოდენობის ზრდა</w:t>
      </w:r>
    </w:p>
    <w:p w14:paraId="34B5EE3E"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უსაფრთხო სისხლის პროდუქტები.</w:t>
      </w:r>
    </w:p>
    <w:p w14:paraId="4281993D" w14:textId="77777777" w:rsidR="00987D86" w:rsidRPr="0090112C" w:rsidRDefault="00987D86" w:rsidP="00987D86">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77777777" w:rsidR="00987D86" w:rsidRPr="0090112C"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4CC2E4C" w14:textId="12CC6F57"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უანგარო დონაციათა რაოდენობა - 16 800, (30%), საერთო დონაციების რაოდენობა - 68 400; </w:t>
      </w:r>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0819079C" w14:textId="05A0A59F" w:rsidR="00AC6967" w:rsidRDefault="00AC6967" w:rsidP="00933B3B">
      <w:pPr>
        <w:spacing w:after="0"/>
        <w:ind w:firstLine="720"/>
        <w:rPr>
          <w:rFonts w:ascii="Sylfaen" w:hAnsi="Sylfaen"/>
          <w:lang w:val="ka-GE"/>
        </w:rPr>
      </w:pPr>
      <w:r w:rsidRPr="0090112C">
        <w:rPr>
          <w:rFonts w:ascii="Sylfaen" w:hAnsi="Sylfaen"/>
          <w:lang w:val="ka-GE"/>
        </w:rPr>
        <w:t xml:space="preserve">უანგარო დონაციათა რაოდენობის ზრდა: 50%; </w:t>
      </w:r>
    </w:p>
    <w:p w14:paraId="7EFE7CFC" w14:textId="77777777" w:rsidR="00933B3B" w:rsidRDefault="00933B3B" w:rsidP="00933B3B">
      <w:pPr>
        <w:spacing w:after="0"/>
        <w:ind w:firstLine="720"/>
        <w:rPr>
          <w:rFonts w:ascii="Sylfaen" w:hAnsi="Sylfaen"/>
          <w:lang w:val="ka-GE"/>
        </w:rPr>
      </w:pPr>
    </w:p>
    <w:p w14:paraId="12529335" w14:textId="77777777" w:rsidR="00933B3B" w:rsidRPr="0090112C" w:rsidRDefault="00933B3B"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9011C0" w14:textId="1C867E7F"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p>
    <w:p w14:paraId="6EAFA174" w14:textId="62D1DEBE"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46F871B6" w14:textId="77777777" w:rsidR="00933B3B" w:rsidRPr="0090112C" w:rsidRDefault="00933B3B" w:rsidP="00933B3B">
      <w:pPr>
        <w:ind w:left="72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63CDA2CA" w14:textId="787FDC3E" w:rsidR="00933B3B" w:rsidRPr="0090112C"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62EB1997" w14:textId="77777777" w:rsidR="00933B3B"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p>
    <w:p w14:paraId="70419982" w14:textId="77777777" w:rsidR="00933B3B" w:rsidRPr="0090112C"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1FAB0066"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7E3AF961"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285B05C0"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336C739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2D88A2D9" w14:textId="7178694C"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უსაფრთხო სისხლის პროდუქტები: გამოკვლეულ დონორთა რაოდენობა - 100%; </w:t>
      </w:r>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4259CD22" w14:textId="0FE82B9B" w:rsidR="00400C90" w:rsidRPr="0090112C" w:rsidRDefault="00AC6967" w:rsidP="00933B3B">
      <w:pPr>
        <w:spacing w:after="0"/>
        <w:ind w:firstLine="720"/>
        <w:rPr>
          <w:rFonts w:ascii="Sylfaen" w:hAnsi="Sylfaen" w:cs="Calibri"/>
          <w:b/>
          <w:lang w:val="ka-GE"/>
        </w:rPr>
      </w:pPr>
      <w:r w:rsidRPr="0090112C">
        <w:rPr>
          <w:rFonts w:ascii="Sylfaen" w:hAnsi="Sylfaen"/>
          <w:lang w:val="ka-GE"/>
        </w:rPr>
        <w:t>შენარჩუნებულია საბაზისო მაჩვენებელი</w:t>
      </w:r>
    </w:p>
    <w:p w14:paraId="69193B29" w14:textId="77777777" w:rsidR="00933B3B" w:rsidRDefault="00933B3B" w:rsidP="00933B3B">
      <w:pPr>
        <w:spacing w:after="0"/>
        <w:ind w:firstLine="720"/>
        <w:rPr>
          <w:rFonts w:ascii="Sylfaen" w:hAnsi="Sylfaen"/>
          <w:b/>
          <w:lang w:val="ka-GE"/>
        </w:rPr>
      </w:pPr>
    </w:p>
    <w:p w14:paraId="70C7DAD6" w14:textId="499B625C" w:rsidR="00987D86" w:rsidRPr="0090112C" w:rsidRDefault="00987D86"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9F56654" w14:textId="77777777" w:rsidR="00AC6967" w:rsidRPr="0090112C"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2472531" w14:textId="06B5B37B" w:rsidR="00AC6967" w:rsidRDefault="00AC6967" w:rsidP="00AC6967">
      <w:pPr>
        <w:spacing w:after="0" w:line="240" w:lineRule="auto"/>
        <w:jc w:val="both"/>
        <w:rPr>
          <w:rFonts w:ascii="Sylfaen" w:eastAsia="Sylfaen" w:hAnsi="Sylfaen" w:cs="Sylfaen"/>
          <w:lang w:val="ka-GE" w:eastAsia="ka-GE"/>
        </w:rPr>
      </w:pPr>
    </w:p>
    <w:p w14:paraId="03B329B0" w14:textId="0B52FAAA" w:rsidR="003100C5" w:rsidRDefault="003100C5" w:rsidP="00AC6967">
      <w:pPr>
        <w:spacing w:after="0" w:line="240" w:lineRule="auto"/>
        <w:jc w:val="both"/>
        <w:rPr>
          <w:rFonts w:ascii="Sylfaen" w:eastAsia="Sylfaen" w:hAnsi="Sylfaen" w:cs="Sylfaen"/>
          <w:lang w:val="ka-GE" w:eastAsia="ka-GE"/>
        </w:rPr>
      </w:pPr>
    </w:p>
    <w:p w14:paraId="0967084E" w14:textId="50B642D2" w:rsidR="003100C5" w:rsidRDefault="003100C5" w:rsidP="00AC6967">
      <w:pPr>
        <w:spacing w:after="0" w:line="240" w:lineRule="auto"/>
        <w:jc w:val="both"/>
        <w:rPr>
          <w:rFonts w:ascii="Sylfaen" w:eastAsia="Sylfaen" w:hAnsi="Sylfaen" w:cs="Sylfaen"/>
          <w:lang w:val="ka-GE" w:eastAsia="ka-GE"/>
        </w:rPr>
      </w:pPr>
    </w:p>
    <w:p w14:paraId="7B2E4BC0" w14:textId="77777777" w:rsidR="003100C5" w:rsidRPr="0090112C" w:rsidRDefault="003100C5"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1DBF9EBF" w:rsidR="00987D86" w:rsidRPr="0090112C" w:rsidRDefault="00987D86" w:rsidP="00A61D3B">
      <w:pPr>
        <w:pStyle w:val="abzacixml"/>
        <w:numPr>
          <w:ilvl w:val="0"/>
          <w:numId w:val="3"/>
        </w:numPr>
        <w:tabs>
          <w:tab w:val="left" w:pos="0"/>
        </w:tabs>
        <w:autoSpaceDE/>
        <w:autoSpaceDN/>
        <w:adjustRightInd/>
      </w:pPr>
      <w:r w:rsidRPr="0090112C">
        <w:rPr>
          <w:lang w:val="ka-GE"/>
        </w:rPr>
        <w:t xml:space="preserve"> </w:t>
      </w:r>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16804A87" w14:textId="77777777" w:rsidR="00987D86" w:rsidRPr="0090112C" w:rsidRDefault="00987D86" w:rsidP="00987D86">
      <w:pPr>
        <w:rPr>
          <w:rFonts w:ascii="Sylfaen" w:hAnsi="Sylfaen" w:cs="Sylfaen"/>
          <w:b/>
          <w:lang w:val="ka-GE"/>
        </w:rPr>
      </w:pP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lastRenderedPageBreak/>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593E25E0" w14:textId="69A98A5C" w:rsidR="00A00734" w:rsidRPr="0090112C" w:rsidRDefault="00A00734"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656E7F">
      <w:pPr>
        <w:pStyle w:val="ListParagraph"/>
        <w:numPr>
          <w:ilvl w:val="0"/>
          <w:numId w:val="54"/>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lastRenderedPageBreak/>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77777777" w:rsidR="009105C9" w:rsidRPr="0090112C" w:rsidRDefault="009105C9" w:rsidP="009105C9">
      <w:pPr>
        <w:pStyle w:val="ListParagraph"/>
        <w:rPr>
          <w:rFonts w:ascii="Sylfaen" w:hAnsi="Sylfaen"/>
          <w:highlight w:val="yellow"/>
          <w:lang w:val="ka-GE"/>
        </w:rPr>
      </w:pPr>
      <w:r w:rsidRPr="0090112C">
        <w:rPr>
          <w:rFonts w:ascii="Sylfaen" w:eastAsia="Sylfaen" w:hAnsi="Sylfaen" w:cs="Sylfaen"/>
          <w:color w:val="000000"/>
          <w:highlight w:val="yellow"/>
        </w:rPr>
        <w:t>ინფექციური</w:t>
      </w:r>
      <w:r w:rsidRPr="0090112C">
        <w:rPr>
          <w:rFonts w:ascii="Sylfaen" w:eastAsia="Sylfaen" w:hAnsi="Sylfaen"/>
          <w:color w:val="000000"/>
          <w:highlight w:val="yellow"/>
        </w:rPr>
        <w:t xml:space="preserve"> დაავადების დიაგნოზით ჰოსპიტალიზებულ ავადმყოფთა შორის ლეტალობის მაჩვენებელი- 1,</w:t>
      </w:r>
      <w:commentRangeStart w:id="5"/>
      <w:r w:rsidRPr="0090112C">
        <w:rPr>
          <w:rFonts w:ascii="Sylfaen" w:eastAsia="Sylfaen" w:hAnsi="Sylfaen"/>
          <w:color w:val="000000"/>
          <w:highlight w:val="yellow"/>
        </w:rPr>
        <w:t>1</w:t>
      </w:r>
      <w:commentRangeEnd w:id="5"/>
      <w:r>
        <w:rPr>
          <w:rStyle w:val="CommentReference"/>
          <w:rFonts w:asciiTheme="minorHAnsi" w:hAnsiTheme="minorHAnsi" w:cstheme="minorBidi"/>
        </w:rPr>
        <w:commentReference w:id="5"/>
      </w:r>
      <w:r w:rsidRPr="0090112C">
        <w:rPr>
          <w:rFonts w:ascii="Sylfaen" w:eastAsia="Sylfaen" w:hAnsi="Sylfaen"/>
          <w:color w:val="000000"/>
          <w:highlight w:val="yellow"/>
        </w:rPr>
        <w:t>%</w:t>
      </w:r>
      <w:r w:rsidRPr="0090112C">
        <w:rPr>
          <w:rFonts w:ascii="Sylfaen" w:eastAsia="Sylfaen" w:hAnsi="Sylfaen"/>
          <w:color w:val="000000"/>
          <w:highlight w:val="yellow"/>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656E7F">
      <w:pPr>
        <w:pStyle w:val="Normal00"/>
        <w:numPr>
          <w:ilvl w:val="0"/>
          <w:numId w:val="54"/>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656E7F">
      <w:pPr>
        <w:pStyle w:val="ListParagraph"/>
        <w:numPr>
          <w:ilvl w:val="3"/>
          <w:numId w:val="33"/>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659C3C70" w14:textId="2E470D7B"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p>
    <w:p w14:paraId="6A94E9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ბაქტერიოსკოპული კვლევა; სადიაგნოსტიკო კვლევა </w:t>
      </w:r>
      <w:r w:rsidRPr="0090112C">
        <w:rPr>
          <w:rFonts w:ascii="Sylfaen" w:hAnsi="Sylfaen"/>
          <w:lang w:val="ka-GE"/>
        </w:rPr>
        <w:t>17.1</w:t>
      </w:r>
      <w:r w:rsidRPr="0090112C">
        <w:rPr>
          <w:rFonts w:ascii="Sylfaen" w:hAnsi="Sylfaen"/>
        </w:rPr>
        <w:t xml:space="preserve"> ათასამდე, ხოლო ქიმიოკონტროლი - </w:t>
      </w:r>
      <w:r w:rsidRPr="0090112C">
        <w:rPr>
          <w:rFonts w:ascii="Sylfaen" w:hAnsi="Sylfaen"/>
          <w:lang w:val="ka-GE"/>
        </w:rPr>
        <w:t>18.4</w:t>
      </w:r>
      <w:r w:rsidRPr="0090112C">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ანტიბიოტიკომგრძნობელობა I რიგის ტუბსაწინააღმდეგო პრეპარატების მიმართ  - </w:t>
      </w:r>
      <w:r w:rsidRPr="0090112C">
        <w:rPr>
          <w:rFonts w:ascii="Sylfaen" w:hAnsi="Sylfaen"/>
          <w:lang w:val="ka-GE"/>
        </w:rPr>
        <w:t>3.3</w:t>
      </w:r>
      <w:r w:rsidRPr="0090112C">
        <w:rPr>
          <w:rFonts w:ascii="Sylfaen" w:hAnsi="Sylfaen"/>
        </w:rPr>
        <w:t xml:space="preserve"> ათასამდე, ანტიბიოტიკომგრძნობელობა II რიგის ტუბსაწინააღმდეგო პრეპარატების მიმართ - </w:t>
      </w:r>
      <w:r w:rsidRPr="0090112C">
        <w:rPr>
          <w:rFonts w:ascii="Sylfaen" w:hAnsi="Sylfaen"/>
          <w:lang w:val="ka-GE"/>
        </w:rPr>
        <w:t>998</w:t>
      </w:r>
      <w:r w:rsidRPr="0090112C">
        <w:rPr>
          <w:rFonts w:ascii="Sylfaen" w:hAnsi="Sylfaen"/>
        </w:rPr>
        <w:t xml:space="preserve">; GeneXpert აპარატით ჩატარებული კვლევების რაოდენობა - </w:t>
      </w:r>
      <w:r w:rsidRPr="0090112C">
        <w:rPr>
          <w:rFonts w:ascii="Sylfaen" w:hAnsi="Sylfaen"/>
          <w:lang w:val="ka-GE"/>
        </w:rPr>
        <w:t>19.3</w:t>
      </w:r>
      <w:r w:rsidRPr="0090112C">
        <w:rPr>
          <w:rFonts w:ascii="Sylfaen" w:hAnsi="Sylfaen"/>
        </w:rPr>
        <w:t xml:space="preserve"> ათასამდე, FAST სტრატეგიის ფარგლებში GeneXpert აპარატით ჩატარებული კვლევების </w:t>
      </w:r>
      <w:r w:rsidRPr="0090112C">
        <w:rPr>
          <w:rFonts w:ascii="Sylfaen" w:hAnsi="Sylfaen"/>
        </w:rPr>
        <w:lastRenderedPageBreak/>
        <w:t xml:space="preserve">რაოდენობა </w:t>
      </w:r>
      <w:r w:rsidRPr="0090112C">
        <w:rPr>
          <w:rFonts w:ascii="Sylfaen" w:hAnsi="Sylfaen"/>
          <w:lang w:val="ka-GE"/>
        </w:rPr>
        <w:t>3.4</w:t>
      </w:r>
      <w:r w:rsidRPr="0090112C">
        <w:rPr>
          <w:rFonts w:ascii="Sylfaen" w:hAnsi="Sylfaen"/>
        </w:rPr>
        <w:t xml:space="preserve"> ათასზე მეტი, ფილტვგარეშე ტუბერკულოზი - </w:t>
      </w:r>
      <w:r w:rsidRPr="0090112C">
        <w:rPr>
          <w:rFonts w:ascii="Sylfaen" w:hAnsi="Sylfaen"/>
          <w:lang w:val="ka-GE"/>
        </w:rPr>
        <w:t>1.4</w:t>
      </w:r>
      <w:r w:rsidRPr="0090112C">
        <w:rPr>
          <w:rFonts w:ascii="Sylfaen" w:hAnsi="Sylfaen"/>
        </w:rPr>
        <w:t xml:space="preserve"> ათასზე მეტი, განხორციელდა  </w:t>
      </w:r>
      <w:r w:rsidRPr="0090112C">
        <w:rPr>
          <w:rFonts w:ascii="Sylfaen" w:hAnsi="Sylfaen"/>
          <w:lang w:val="ka-GE"/>
        </w:rPr>
        <w:t>5 874</w:t>
      </w:r>
      <w:r w:rsidRPr="0090112C">
        <w:rPr>
          <w:rFonts w:ascii="Sylfaen" w:hAnsi="Sylfaen"/>
        </w:rPr>
        <w:t xml:space="preserve">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656E7F">
      <w:pPr>
        <w:pStyle w:val="Normal00"/>
        <w:numPr>
          <w:ilvl w:val="0"/>
          <w:numId w:val="43"/>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AD8846" w14:textId="77777777" w:rsidR="006B4741" w:rsidRPr="006B4741" w:rsidRDefault="006B4741" w:rsidP="006B4741">
      <w:pPr>
        <w:pStyle w:val="ListParagraph"/>
        <w:spacing w:after="0" w:line="240" w:lineRule="auto"/>
        <w:rPr>
          <w:rFonts w:ascii="Sylfaen" w:eastAsia="Sylfaen" w:hAnsi="Sylfaen"/>
          <w:color w:val="000000"/>
          <w:highlight w:val="yellow"/>
          <w:lang w:val="ka-GE"/>
        </w:rPr>
      </w:pPr>
      <w:r w:rsidRPr="006B4741">
        <w:rPr>
          <w:rFonts w:ascii="Sylfaen" w:eastAsia="Sylfaen" w:hAnsi="Sylfaen"/>
          <w:color w:val="000000"/>
          <w:highlight w:val="yellow"/>
          <w:lang w:val="ka-GE"/>
        </w:rPr>
        <w:t>ტუბერკულოზის გავრცელების მაჩვენებელი</w:t>
      </w:r>
      <w:r w:rsidRPr="006B4741">
        <w:rPr>
          <w:rFonts w:ascii="Sylfaen" w:eastAsia="Sylfaen" w:hAnsi="Sylfaen"/>
          <w:color w:val="000000"/>
          <w:highlight w:val="yellow"/>
        </w:rPr>
        <w:t xml:space="preserve"> 100 000 მოსახლეზე - </w:t>
      </w:r>
      <w:r w:rsidRPr="006B4741">
        <w:rPr>
          <w:rFonts w:ascii="Sylfaen" w:eastAsia="Sylfaen" w:hAnsi="Sylfaen"/>
          <w:color w:val="000000"/>
          <w:highlight w:val="yellow"/>
          <w:lang w:val="ka-GE"/>
        </w:rPr>
        <w:t>89,5.</w:t>
      </w:r>
    </w:p>
    <w:p w14:paraId="3C519755" w14:textId="77777777" w:rsidR="006B4741" w:rsidRPr="006B4741" w:rsidRDefault="006B4741" w:rsidP="006B4741">
      <w:pPr>
        <w:pStyle w:val="ListParagraph"/>
        <w:spacing w:after="0" w:line="240" w:lineRule="auto"/>
        <w:contextualSpacing/>
        <w:jc w:val="both"/>
        <w:rPr>
          <w:rFonts w:ascii="Sylfaen" w:hAnsi="Sylfaen"/>
          <w:highlight w:val="yellow"/>
        </w:rPr>
      </w:pPr>
      <w:r w:rsidRPr="006B4741">
        <w:rPr>
          <w:rFonts w:ascii="Sylfaen" w:eastAsia="Sylfaen" w:hAnsi="Sylfaen"/>
          <w:color w:val="000000"/>
          <w:highlight w:val="yellow"/>
          <w:lang w:val="ka-GE"/>
        </w:rPr>
        <w:t>ტუბერკულოზის</w:t>
      </w:r>
      <w:r w:rsidRPr="006B4741">
        <w:rPr>
          <w:rFonts w:ascii="Sylfaen" w:eastAsia="Sylfaen" w:hAnsi="Sylfaen"/>
          <w:color w:val="000000"/>
          <w:highlight w:val="yellow"/>
        </w:rPr>
        <w:t xml:space="preserve"> ახალი შემთხვევები და რეციდივები 100 000 მოსახლეზე - </w:t>
      </w:r>
      <w:commentRangeStart w:id="6"/>
      <w:r w:rsidRPr="006B4741">
        <w:rPr>
          <w:rFonts w:ascii="Sylfaen" w:eastAsia="Sylfaen" w:hAnsi="Sylfaen"/>
          <w:color w:val="000000"/>
          <w:highlight w:val="yellow"/>
          <w:lang w:val="ka-GE"/>
        </w:rPr>
        <w:t>72</w:t>
      </w:r>
      <w:commentRangeEnd w:id="6"/>
      <w:r>
        <w:rPr>
          <w:rStyle w:val="CommentReference"/>
          <w:rFonts w:asciiTheme="minorHAnsi" w:hAnsiTheme="minorHAnsi" w:cstheme="minorBidi"/>
        </w:rPr>
        <w:commentReference w:id="6"/>
      </w:r>
      <w:r w:rsidRPr="006B4741">
        <w:rPr>
          <w:rFonts w:ascii="Sylfaen" w:eastAsia="Sylfaen" w:hAnsi="Sylfaen"/>
          <w:color w:val="000000"/>
          <w:highlight w:val="yellow"/>
          <w:lang w:val="ka-GE"/>
        </w:rPr>
        <w:t>,8.</w:t>
      </w: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w:t>
      </w:r>
      <w:r w:rsidRPr="0090112C">
        <w:rPr>
          <w:rFonts w:ascii="Sylfaen" w:eastAsia="Sylfaen" w:hAnsi="Sylfaen"/>
          <w:color w:val="000000"/>
          <w:sz w:val="22"/>
          <w:szCs w:val="22"/>
        </w:rPr>
        <w:lastRenderedPageBreak/>
        <w:t xml:space="preserve">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656E7F">
      <w:pPr>
        <w:pStyle w:val="ListParagraph"/>
        <w:numPr>
          <w:ilvl w:val="0"/>
          <w:numId w:val="57"/>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656E7F">
      <w:pPr>
        <w:pStyle w:val="ListParagraph"/>
        <w:numPr>
          <w:ilvl w:val="0"/>
          <w:numId w:val="57"/>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bookmarkStart w:id="7" w:name="_GoBack"/>
      <w:bookmarkEnd w:id="7"/>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lastRenderedPageBreak/>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656E7F">
      <w:pPr>
        <w:pStyle w:val="ListParagraph"/>
        <w:numPr>
          <w:ilvl w:val="3"/>
          <w:numId w:val="33"/>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90112C" w:rsidRDefault="0014771F" w:rsidP="0014771F">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FA6CF6F" w14:textId="29FEB1B2" w:rsidR="0014771F" w:rsidRPr="0090112C" w:rsidRDefault="00DA5613" w:rsidP="0014771F">
      <w:pPr>
        <w:pStyle w:val="abzacixml"/>
        <w:tabs>
          <w:tab w:val="left" w:pos="0"/>
        </w:tabs>
        <w:autoSpaceDE/>
        <w:autoSpaceDN/>
        <w:adjustRightInd/>
        <w:ind w:left="270" w:firstLine="0"/>
        <w:rPr>
          <w:b/>
          <w:lang w:val="ka-GE"/>
        </w:rPr>
      </w:pPr>
      <w:r w:rsidRPr="0090112C">
        <w:t xml:space="preserve">აივ-ინფექციის/შიდსის სამკურნალო პირველი რიგის მედიკამენტებით </w:t>
      </w:r>
      <w:r w:rsidRPr="003100C5">
        <w:t xml:space="preserve">მკურნალობა ჩაუტარდა 3 636 შიდსით დაავადებულ პაციენტს, ხოლო მეორე რიგის მედიკამენტებით მკურნალობა - 814 </w:t>
      </w:r>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lastRenderedPageBreak/>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w:t>
      </w:r>
      <w:r w:rsidRPr="0090112C">
        <w:rPr>
          <w:rFonts w:ascii="Sylfaen" w:eastAsia="Sylfaen" w:hAnsi="Sylfaen"/>
          <w:color w:val="000000"/>
          <w:sz w:val="22"/>
          <w:szCs w:val="22"/>
        </w:rPr>
        <w:lastRenderedPageBreak/>
        <w:t xml:space="preserve">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2CD6CA9E" w14:textId="77777777"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656E7F">
      <w:pPr>
        <w:numPr>
          <w:ilvl w:val="0"/>
          <w:numId w:val="63"/>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36.0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  </w:t>
      </w:r>
    </w:p>
    <w:p w14:paraId="5DEB16D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კონფირმაციული კვლევით გამოკვლეული იქნა: B ჰეპატიტზე - </w:t>
      </w:r>
      <w:r w:rsidRPr="0090112C">
        <w:rPr>
          <w:rFonts w:ascii="Sylfaen" w:hAnsi="Sylfaen"/>
          <w:lang w:val="ka-GE"/>
        </w:rPr>
        <w:t>631</w:t>
      </w:r>
      <w:r w:rsidRPr="0090112C">
        <w:rPr>
          <w:rFonts w:ascii="Sylfaen" w:hAnsi="Sylfaen"/>
        </w:rPr>
        <w:t xml:space="preserve"> სისხლის ნიმუში (დადასტურებული შემთხვევების რაოდენობა - </w:t>
      </w:r>
      <w:r w:rsidRPr="0090112C">
        <w:rPr>
          <w:rFonts w:ascii="Sylfaen" w:hAnsi="Sylfaen"/>
          <w:lang w:val="ka-GE"/>
        </w:rPr>
        <w:t>604</w:t>
      </w:r>
      <w:r w:rsidRPr="0090112C">
        <w:rPr>
          <w:rFonts w:ascii="Sylfaen" w:hAnsi="Sylfaen"/>
        </w:rPr>
        <w:t xml:space="preserve">); </w:t>
      </w:r>
      <w:r w:rsidRPr="0090112C">
        <w:rPr>
          <w:rFonts w:ascii="Sylfaen" w:hAnsi="Sylfaen"/>
          <w:highlight w:val="yellow"/>
        </w:rPr>
        <w:t>სიფილისზე - 110 სისხლის ნიმუში (დადასტურებული შემთხვევების რაოდენობა - 43, უკუგდებულია - 42; სავარაუდოა - 23 შემთხვევა);</w:t>
      </w:r>
      <w:r w:rsidRPr="0090112C">
        <w:rPr>
          <w:rFonts w:ascii="Sylfaen" w:hAnsi="Sylfaen"/>
        </w:rPr>
        <w:t xml:space="preserve"> აივ-ინფექცია/შიდსზე საეჭვო შემთხვევის რაოდენობაა - </w:t>
      </w:r>
      <w:r w:rsidRPr="0090112C">
        <w:rPr>
          <w:rFonts w:ascii="Sylfaen" w:hAnsi="Sylfaen"/>
          <w:lang w:val="ka-GE"/>
        </w:rPr>
        <w:t>40</w:t>
      </w:r>
      <w:r w:rsidRPr="0090112C">
        <w:rPr>
          <w:rFonts w:ascii="Sylfaen" w:hAnsi="Sylfaen"/>
        </w:rPr>
        <w:t xml:space="preserve"> (უარყოფითი შედეგი -2</w:t>
      </w:r>
      <w:r w:rsidRPr="0090112C">
        <w:rPr>
          <w:rFonts w:ascii="Sylfaen" w:hAnsi="Sylfaen"/>
          <w:lang w:val="ka-GE"/>
        </w:rPr>
        <w:t>3</w:t>
      </w:r>
      <w:r w:rsidRPr="0090112C">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90112C">
        <w:rPr>
          <w:rFonts w:ascii="Sylfaen" w:hAnsi="Sylfaen"/>
          <w:lang w:val="ka-GE"/>
        </w:rPr>
        <w:t>13</w:t>
      </w:r>
      <w:r w:rsidRPr="0090112C">
        <w:rPr>
          <w:rFonts w:ascii="Sylfaen" w:hAnsi="Sylfaen"/>
        </w:rPr>
        <w:t xml:space="preserve">, მ.შ. </w:t>
      </w:r>
      <w:r w:rsidRPr="0090112C">
        <w:rPr>
          <w:rFonts w:ascii="Sylfaen" w:hAnsi="Sylfaen"/>
          <w:lang w:val="ka-GE"/>
        </w:rPr>
        <w:t xml:space="preserve">5 </w:t>
      </w:r>
      <w:r w:rsidRPr="0090112C">
        <w:rPr>
          <w:rFonts w:ascii="Sylfaen" w:hAnsi="Sylfaen"/>
        </w:rPr>
        <w:t xml:space="preserve">ორსული (ადრე დადასტურებული) იმყოფება მკურნალობის ქვეშ, ხოლო </w:t>
      </w:r>
      <w:r w:rsidRPr="0090112C">
        <w:rPr>
          <w:rFonts w:ascii="Sylfaen" w:hAnsi="Sylfaen"/>
          <w:lang w:val="ka-GE"/>
        </w:rPr>
        <w:t>8</w:t>
      </w:r>
      <w:r w:rsidRPr="0090112C">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 </w:t>
      </w:r>
      <w:r w:rsidRPr="0090112C">
        <w:rPr>
          <w:rFonts w:ascii="Sylfaen" w:eastAsia="Segoe UI Symbol" w:hAnsi="Sylfaen" w:cs="Segoe UI Symbol"/>
        </w:rPr>
        <w:t></w:t>
      </w:r>
      <w:r w:rsidRPr="0090112C">
        <w:rPr>
          <w:rFonts w:ascii="Sylfaen" w:eastAsia="Arial" w:hAnsi="Sylfaen" w:cs="Arial"/>
        </w:rPr>
        <w:t xml:space="preserve"> </w:t>
      </w:r>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p>
    <w:p w14:paraId="1ED75AB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46BF216D"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სმენის სკრინინგის კომპონენტის ფარგლებში ქ. თბილისის სამშობიარო სახლებში</w:t>
      </w:r>
      <w:r w:rsidRPr="0090112C">
        <w:rPr>
          <w:rFonts w:ascii="Sylfaen" w:eastAsia="Times New Roman" w:hAnsi="Sylfaen" w:cs="Times New Roman"/>
          <w:highlight w:val="yellow"/>
        </w:rPr>
        <w:t xml:space="preserve">  </w:t>
      </w:r>
      <w:r w:rsidRPr="0090112C">
        <w:rPr>
          <w:rFonts w:ascii="Sylfaen" w:hAnsi="Sylfaen"/>
          <w:highlight w:val="yellow"/>
        </w:rPr>
        <w: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t>
      </w:r>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656E7F">
      <w:pPr>
        <w:pStyle w:val="ListParagraph"/>
        <w:numPr>
          <w:ilvl w:val="0"/>
          <w:numId w:val="46"/>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7FFAA77E" w:rsidR="00F75154" w:rsidRPr="0090112C" w:rsidRDefault="00F75154" w:rsidP="00656E7F">
      <w:pPr>
        <w:pStyle w:val="ListParagraph"/>
        <w:numPr>
          <w:ilvl w:val="0"/>
          <w:numId w:val="16"/>
        </w:numPr>
        <w:tabs>
          <w:tab w:val="left" w:pos="450"/>
        </w:tabs>
        <w:autoSpaceDE/>
        <w:autoSpaceDN/>
        <w:adjustRightInd/>
        <w:spacing w:after="0" w:line="240" w:lineRule="auto"/>
        <w:contextualSpacing/>
        <w:jc w:val="both"/>
        <w:rPr>
          <w:rFonts w:ascii="Sylfaen" w:eastAsia="Sylfaen" w:hAnsi="Sylfaen"/>
          <w:color w:val="000000"/>
          <w:highlight w:val="yellow"/>
          <w:lang w:val="ka-GE"/>
        </w:rPr>
      </w:pPr>
      <w:r w:rsidRPr="0090112C">
        <w:rPr>
          <w:rFonts w:ascii="Sylfaen" w:eastAsia="Sylfaen" w:hAnsi="Sylfaen"/>
          <w:color w:val="000000"/>
          <w:highlight w:val="yellow"/>
          <w:lang w:val="ka-GE"/>
        </w:rPr>
        <w:t xml:space="preserve">დედათა </w:t>
      </w:r>
      <w:r w:rsidR="00A12DFF" w:rsidRPr="0090112C">
        <w:rPr>
          <w:rFonts w:ascii="Sylfaen" w:eastAsia="Sylfaen" w:hAnsi="Sylfaen"/>
          <w:color w:val="000000"/>
          <w:highlight w:val="yellow"/>
          <w:lang w:val="ka-GE"/>
        </w:rPr>
        <w:t xml:space="preserve">სიკვდილობის მაჩვენებლი 2015 წელთან შედარებით (32) მნიშვნელოვნად გაუმჯობესდა (23) </w:t>
      </w:r>
      <w:r w:rsidRPr="0090112C">
        <w:rPr>
          <w:rFonts w:ascii="Sylfaen" w:eastAsia="Sylfaen" w:hAnsi="Sylfaen"/>
          <w:color w:val="000000"/>
          <w:highlight w:val="yellow"/>
          <w:lang w:val="ka-GE"/>
        </w:rPr>
        <w:t xml:space="preserve">და ბავშვთა სიკვდილიანობის მაჩვენებლის შემცირების თვალსაზრისით </w:t>
      </w:r>
      <w:r w:rsidR="00A12DFF" w:rsidRPr="0090112C">
        <w:rPr>
          <w:rFonts w:ascii="Sylfaen" w:eastAsia="Sylfaen" w:hAnsi="Sylfaen"/>
          <w:color w:val="000000"/>
          <w:highlight w:val="yellow"/>
          <w:lang w:val="ka-GE"/>
        </w:rPr>
        <w:t>გაუარესება</w:t>
      </w:r>
      <w:r w:rsidRPr="0090112C">
        <w:rPr>
          <w:rFonts w:ascii="Sylfaen" w:eastAsia="Sylfaen" w:hAnsi="Sylfaen"/>
          <w:color w:val="000000"/>
          <w:highlight w:val="yellow"/>
          <w:lang w:val="ka-GE"/>
        </w:rPr>
        <w:t xml:space="preserve"> არ </w:t>
      </w:r>
      <w:commentRangeStart w:id="8"/>
      <w:r w:rsidRPr="0090112C">
        <w:rPr>
          <w:rFonts w:ascii="Sylfaen" w:eastAsia="Sylfaen" w:hAnsi="Sylfaen"/>
          <w:color w:val="000000"/>
          <w:highlight w:val="yellow"/>
          <w:lang w:val="ka-GE"/>
        </w:rPr>
        <w:t>დაფიქსირებულა</w:t>
      </w:r>
      <w:commentRangeEnd w:id="8"/>
      <w:r w:rsidR="00F3127B">
        <w:rPr>
          <w:rStyle w:val="CommentReference"/>
          <w:rFonts w:asciiTheme="minorHAnsi" w:hAnsiTheme="minorHAnsi" w:cstheme="minorBidi"/>
        </w:rPr>
        <w:commentReference w:id="8"/>
      </w:r>
      <w:r w:rsidRPr="0090112C">
        <w:rPr>
          <w:rFonts w:ascii="Sylfaen" w:eastAsia="Sylfaen" w:hAnsi="Sylfaen"/>
          <w:color w:val="000000"/>
          <w:highlight w:val="yellow"/>
          <w:lang w:val="ka-GE"/>
        </w:rPr>
        <w:t>;</w:t>
      </w:r>
    </w:p>
    <w:p w14:paraId="4AAE1B24" w14:textId="749FF1B5" w:rsidR="007C4135" w:rsidRPr="0090112C" w:rsidRDefault="007C4135" w:rsidP="00656E7F">
      <w:pPr>
        <w:pStyle w:val="ListParagraph"/>
        <w:numPr>
          <w:ilvl w:val="0"/>
          <w:numId w:val="17"/>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90112C">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77777777"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სრული ანტენატალური ვიზიტით მოცვის მაჩვენებელი</w:t>
      </w:r>
      <w:r w:rsidRPr="00F3127B">
        <w:rPr>
          <w:rFonts w:ascii="Sylfaen" w:eastAsia="Sylfaen" w:hAnsi="Sylfaen"/>
          <w:color w:val="000000"/>
          <w:sz w:val="22"/>
          <w:szCs w:val="22"/>
          <w:highlight w:val="yellow"/>
          <w:lang w:val="ka-GE"/>
        </w:rPr>
        <w:t>-</w:t>
      </w:r>
    </w:p>
    <w:p w14:paraId="60AE869E" w14:textId="6CD96D2A"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ჩვილ ბავშვთა სიკვდილიანობის </w:t>
      </w:r>
      <w:commentRangeStart w:id="9"/>
      <w:r w:rsidRPr="00F3127B">
        <w:rPr>
          <w:rFonts w:ascii="Sylfaen" w:eastAsia="Sylfaen" w:hAnsi="Sylfaen"/>
          <w:color w:val="000000"/>
          <w:sz w:val="22"/>
          <w:szCs w:val="22"/>
          <w:highlight w:val="yellow"/>
        </w:rPr>
        <w:t>მაჩვენებ</w:t>
      </w:r>
      <w:r w:rsidRPr="00F3127B">
        <w:rPr>
          <w:rFonts w:ascii="Sylfaen" w:eastAsia="Sylfaen" w:hAnsi="Sylfaen"/>
          <w:color w:val="000000"/>
          <w:sz w:val="22"/>
          <w:szCs w:val="22"/>
          <w:highlight w:val="yellow"/>
          <w:lang w:val="ka-GE"/>
        </w:rPr>
        <w:t>ე</w:t>
      </w:r>
      <w:r w:rsidRPr="00F3127B">
        <w:rPr>
          <w:rFonts w:ascii="Sylfaen" w:eastAsia="Sylfaen" w:hAnsi="Sylfaen"/>
          <w:color w:val="000000"/>
          <w:sz w:val="22"/>
          <w:szCs w:val="22"/>
          <w:highlight w:val="yellow"/>
        </w:rPr>
        <w:t>ლი</w:t>
      </w:r>
      <w:commentRangeEnd w:id="9"/>
      <w:r>
        <w:rPr>
          <w:rStyle w:val="CommentReference"/>
          <w:rFonts w:asciiTheme="minorHAnsi" w:eastAsiaTheme="minorEastAsia" w:hAnsiTheme="minorHAnsi" w:cstheme="minorBidi"/>
        </w:rPr>
        <w:commentReference w:id="9"/>
      </w:r>
      <w:r w:rsidRPr="00F3127B">
        <w:rPr>
          <w:rFonts w:ascii="Sylfaen" w:eastAsia="Sylfaen" w:hAnsi="Sylfaen"/>
          <w:color w:val="000000"/>
          <w:sz w:val="22"/>
          <w:szCs w:val="22"/>
          <w:highlight w:val="yellow"/>
          <w:lang w:val="ka-GE"/>
        </w:rPr>
        <w:t>-</w:t>
      </w:r>
      <w:r w:rsidRPr="00F3127B">
        <w:rPr>
          <w:rFonts w:ascii="Sylfaen" w:eastAsia="Sylfaen" w:hAnsi="Sylfaen"/>
          <w:color w:val="000000"/>
          <w:sz w:val="22"/>
          <w:szCs w:val="22"/>
          <w:highlight w:val="yellow"/>
        </w:rPr>
        <w:t xml:space="preserve"> </w:t>
      </w:r>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7777777" w:rsidR="00F3127B" w:rsidRPr="00F3127B" w:rsidRDefault="00F3127B" w:rsidP="00656E7F">
      <w:pPr>
        <w:pStyle w:val="Normal00"/>
        <w:numPr>
          <w:ilvl w:val="0"/>
          <w:numId w:val="65"/>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დედიდან ბავშვზე აივ–ინფექცია/შიდსის გადაცემის მაჩვენებელი </w:t>
      </w:r>
      <w:r w:rsidRPr="00F3127B">
        <w:rPr>
          <w:rFonts w:ascii="Sylfaen" w:eastAsia="Sylfaen" w:hAnsi="Sylfaen"/>
          <w:color w:val="000000"/>
          <w:sz w:val="22"/>
          <w:szCs w:val="22"/>
          <w:highlight w:val="yellow"/>
          <w:lang w:val="ka-GE"/>
        </w:rPr>
        <w:t>-</w:t>
      </w:r>
    </w:p>
    <w:p w14:paraId="25EDE7C4" w14:textId="7749C09E" w:rsidR="00F3127B" w:rsidRPr="00F3127B" w:rsidRDefault="00F3127B" w:rsidP="00656E7F">
      <w:pPr>
        <w:pStyle w:val="Normal00"/>
        <w:numPr>
          <w:ilvl w:val="0"/>
          <w:numId w:val="65"/>
        </w:numPr>
        <w:jc w:val="both"/>
        <w:rPr>
          <w:rFonts w:ascii="Sylfaen" w:eastAsia="Sylfaen" w:hAnsi="Sylfaen"/>
          <w:color w:val="000000"/>
          <w:sz w:val="22"/>
          <w:szCs w:val="22"/>
          <w:highlight w:val="yellow"/>
          <w:lang w:val="ka-GE"/>
        </w:rPr>
      </w:pPr>
      <w:r w:rsidRPr="00F3127B">
        <w:rPr>
          <w:rFonts w:ascii="Sylfaen" w:eastAsia="Sylfaen" w:hAnsi="Sylfaen"/>
          <w:color w:val="000000"/>
          <w:sz w:val="22"/>
          <w:szCs w:val="22"/>
          <w:highlight w:val="yellow"/>
        </w:rPr>
        <w:t xml:space="preserve">დედიდან ბავშვზე B ჰეპატიტის გადაცემის </w:t>
      </w:r>
      <w:commentRangeStart w:id="10"/>
      <w:r w:rsidRPr="00F3127B">
        <w:rPr>
          <w:rFonts w:ascii="Sylfaen" w:eastAsia="Sylfaen" w:hAnsi="Sylfaen"/>
          <w:color w:val="000000"/>
          <w:sz w:val="22"/>
          <w:szCs w:val="22"/>
          <w:highlight w:val="yellow"/>
        </w:rPr>
        <w:t>მაჩვენებელი</w:t>
      </w:r>
      <w:commentRangeEnd w:id="10"/>
      <w:r>
        <w:rPr>
          <w:rStyle w:val="CommentReference"/>
          <w:rFonts w:asciiTheme="minorHAnsi" w:eastAsiaTheme="minorEastAsia" w:hAnsiTheme="minorHAnsi" w:cstheme="minorBidi"/>
        </w:rPr>
        <w:commentReference w:id="10"/>
      </w:r>
      <w:r w:rsidRPr="00F3127B">
        <w:rPr>
          <w:rFonts w:ascii="Sylfaen" w:eastAsia="Sylfaen" w:hAnsi="Sylfaen"/>
          <w:color w:val="000000"/>
          <w:sz w:val="22"/>
          <w:szCs w:val="22"/>
          <w:highlight w:val="yellow"/>
        </w:rPr>
        <w:t xml:space="preserve"> </w:t>
      </w:r>
      <w:r w:rsidRPr="00F3127B">
        <w:rPr>
          <w:rFonts w:ascii="Sylfaen" w:eastAsia="Sylfaen" w:hAnsi="Sylfaen"/>
          <w:color w:val="000000"/>
          <w:sz w:val="22"/>
          <w:szCs w:val="22"/>
          <w:highlight w:val="yellow"/>
          <w:lang w:val="ka-GE"/>
        </w:rPr>
        <w:t>-</w:t>
      </w:r>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w:t>
      </w:r>
    </w:p>
    <w:p w14:paraId="7690DF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EDCC6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656E7F">
      <w:pPr>
        <w:pStyle w:val="Normal00"/>
        <w:numPr>
          <w:ilvl w:val="0"/>
          <w:numId w:val="67"/>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656E7F">
      <w:pPr>
        <w:pStyle w:val="ListParagraph"/>
        <w:numPr>
          <w:ilvl w:val="0"/>
          <w:numId w:val="67"/>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lastRenderedPageBreak/>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656E7F">
      <w:pPr>
        <w:pStyle w:val="ListParagraph"/>
        <w:numPr>
          <w:ilvl w:val="0"/>
          <w:numId w:val="17"/>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656E7F">
      <w:pPr>
        <w:pStyle w:val="abzacixml"/>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lastRenderedPageBreak/>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656E7F">
      <w:pPr>
        <w:pStyle w:val="ListParagraph"/>
        <w:numPr>
          <w:ilvl w:val="0"/>
          <w:numId w:val="17"/>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656E7F">
      <w:pPr>
        <w:pStyle w:val="ListParagraph"/>
        <w:numPr>
          <w:ilvl w:val="0"/>
          <w:numId w:val="68"/>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656E7F">
      <w:pPr>
        <w:pStyle w:val="abzacixml"/>
        <w:numPr>
          <w:ilvl w:val="0"/>
          <w:numId w:val="69"/>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656E7F">
      <w:pPr>
        <w:numPr>
          <w:ilvl w:val="0"/>
          <w:numId w:val="69"/>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656E7F">
      <w:pPr>
        <w:numPr>
          <w:ilvl w:val="5"/>
          <w:numId w:val="37"/>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656E7F">
      <w:pPr>
        <w:pStyle w:val="ListParagraph"/>
        <w:numPr>
          <w:ilvl w:val="0"/>
          <w:numId w:val="70"/>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lastRenderedPageBreak/>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656E7F">
      <w:pPr>
        <w:pStyle w:val="Normal00"/>
        <w:numPr>
          <w:ilvl w:val="0"/>
          <w:numId w:val="71"/>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656E7F">
      <w:pPr>
        <w:pStyle w:val="ListParagraph"/>
        <w:numPr>
          <w:ilvl w:val="2"/>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656E7F">
      <w:pPr>
        <w:pStyle w:val="ListParagraph"/>
        <w:numPr>
          <w:ilvl w:val="0"/>
          <w:numId w:val="26"/>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98CA0A9" w14:textId="626FE960" w:rsidR="002F78E8" w:rsidRPr="0090112C" w:rsidRDefault="005C398C"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w:t>
      </w:r>
      <w:r w:rsidRPr="0090112C">
        <w:rPr>
          <w:rFonts w:ascii="Sylfaen" w:eastAsia="Sylfaen" w:hAnsi="Sylfaen"/>
          <w:color w:val="000000"/>
          <w:lang w:val="ka-GE"/>
        </w:rPr>
        <w:t xml:space="preserve"> </w:t>
      </w:r>
      <w:r w:rsidR="002F78E8" w:rsidRPr="0090112C">
        <w:rPr>
          <w:rFonts w:ascii="Sylfaen" w:eastAsia="Sylfaen" w:hAnsi="Sylfaen"/>
          <w:color w:val="000000"/>
        </w:rPr>
        <w:t>შემცირება;</w:t>
      </w:r>
    </w:p>
    <w:p w14:paraId="02FC6643" w14:textId="77777777" w:rsidR="002F78E8" w:rsidRPr="0090112C" w:rsidRDefault="002F78E8"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656E7F">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lastRenderedPageBreak/>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A561D7">
      <w:pPr>
        <w:pStyle w:val="ListParagrap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78CB8BFF"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s="Sylfaen"/>
          <w:color w:val="000000"/>
          <w:highlight w:val="yellow"/>
        </w:rPr>
        <w:t>ფსიქიკური</w:t>
      </w:r>
      <w:r w:rsidRPr="00A561D7">
        <w:rPr>
          <w:rFonts w:ascii="Sylfaen" w:eastAsia="Sylfaen" w:hAnsi="Sylfaen"/>
          <w:color w:val="000000"/>
          <w:highlight w:val="yellow"/>
        </w:rPr>
        <w:t xml:space="preserve"> და ქცევითი აშლილობების პრევალენტობა - </w:t>
      </w:r>
      <w:r w:rsidRPr="00A561D7">
        <w:rPr>
          <w:rFonts w:ascii="Sylfaen" w:eastAsia="Sylfaen" w:hAnsi="Sylfaen"/>
          <w:color w:val="000000"/>
          <w:highlight w:val="yellow"/>
          <w:lang w:val="ka-GE"/>
        </w:rPr>
        <w:t>2423,5</w:t>
      </w:r>
      <w:r w:rsidRPr="00A561D7">
        <w:rPr>
          <w:rFonts w:ascii="Sylfaen" w:eastAsia="Sylfaen" w:hAnsi="Sylfaen"/>
          <w:color w:val="000000"/>
          <w:highlight w:val="yellow"/>
        </w:rPr>
        <w:t xml:space="preserve">; </w:t>
      </w:r>
    </w:p>
    <w:p w14:paraId="76B5E86D" w14:textId="06CD9339"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olor w:val="000000"/>
          <w:highlight w:val="yellow"/>
        </w:rPr>
        <w:t xml:space="preserve">ფსიქიკური და ქცევითი აშლილობების ინციდენტობა - </w:t>
      </w:r>
      <w:r w:rsidRPr="00A561D7">
        <w:rPr>
          <w:rFonts w:ascii="Sylfaen" w:eastAsia="Sylfaen" w:hAnsi="Sylfaen"/>
          <w:color w:val="000000"/>
          <w:highlight w:val="yellow"/>
          <w:lang w:val="ka-GE"/>
        </w:rPr>
        <w:t>140,</w:t>
      </w:r>
      <w:commentRangeStart w:id="11"/>
      <w:r w:rsidRPr="00A561D7">
        <w:rPr>
          <w:rFonts w:ascii="Sylfaen" w:eastAsia="Sylfaen" w:hAnsi="Sylfaen"/>
          <w:color w:val="000000"/>
          <w:highlight w:val="yellow"/>
          <w:lang w:val="ka-GE"/>
        </w:rPr>
        <w:t>6</w:t>
      </w:r>
      <w:commentRangeEnd w:id="11"/>
      <w:r>
        <w:rPr>
          <w:rStyle w:val="CommentReference"/>
          <w:rFonts w:asciiTheme="minorHAnsi" w:hAnsiTheme="minorHAnsi" w:cstheme="minorBidi"/>
        </w:rPr>
        <w:commentReference w:id="11"/>
      </w:r>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656E7F">
      <w:pPr>
        <w:pStyle w:val="Normal00"/>
        <w:numPr>
          <w:ilvl w:val="0"/>
          <w:numId w:val="3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6EE9F04" w14:textId="246BD23C" w:rsidR="008E04EE" w:rsidRPr="0090112C" w:rsidRDefault="008E04EE" w:rsidP="00A561D7">
      <w:pPr>
        <w:spacing w:after="0" w:line="240" w:lineRule="auto"/>
        <w:ind w:left="639"/>
        <w:rPr>
          <w:rFonts w:ascii="Sylfaen" w:eastAsia="Sylfaen" w:hAnsi="Sylfaen"/>
          <w:color w:val="000000"/>
          <w:lang w:val="ka-GE"/>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მიმართვების რაოდენობამ შეადგინა </w:t>
      </w:r>
      <w:r w:rsidRPr="0090112C">
        <w:rPr>
          <w:rFonts w:ascii="Sylfaen" w:eastAsia="Times New Roman" w:hAnsi="Sylfaen" w:cs="Arial"/>
          <w:highlight w:val="yellow"/>
          <w:lang w:val="ka-GE"/>
        </w:rPr>
        <w:t>4.</w:t>
      </w:r>
      <w:commentRangeStart w:id="12"/>
      <w:r w:rsidRPr="0090112C">
        <w:rPr>
          <w:rFonts w:ascii="Sylfaen" w:eastAsia="Times New Roman" w:hAnsi="Sylfaen" w:cs="Arial"/>
          <w:highlight w:val="yellow"/>
          <w:lang w:val="ka-GE"/>
        </w:rPr>
        <w:t>0</w:t>
      </w:r>
      <w:commentRangeEnd w:id="12"/>
      <w:r w:rsidR="00A561D7">
        <w:rPr>
          <w:rStyle w:val="CommentReference"/>
        </w:rPr>
        <w:commentReference w:id="12"/>
      </w:r>
      <w:r w:rsidRPr="0090112C">
        <w:rPr>
          <w:rFonts w:ascii="Sylfaen" w:eastAsia="Times New Roman" w:hAnsi="Sylfaen" w:cs="Arial"/>
        </w:rPr>
        <w:t xml:space="preserve"> </w:t>
      </w:r>
    </w:p>
    <w:p w14:paraId="0B571627" w14:textId="77777777" w:rsidR="00C04119" w:rsidRPr="0090112C" w:rsidRDefault="00C04119" w:rsidP="00A561D7">
      <w:pPr>
        <w:spacing w:after="0"/>
        <w:ind w:left="208"/>
        <w:rPr>
          <w:rFonts w:ascii="Sylfaen" w:hAnsi="Sylfaen"/>
          <w:b/>
          <w:lang w:val="ka-GE"/>
        </w:rPr>
      </w:pPr>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656E7F">
      <w:pPr>
        <w:pStyle w:val="ListParagraph"/>
        <w:numPr>
          <w:ilvl w:val="3"/>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ფსიქოსოციალური რეაბილიტაცია ჩაუტარდა 74 ბენეფიციარს; </w:t>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w:t>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656E7F">
      <w:pPr>
        <w:pStyle w:val="Normal00"/>
        <w:numPr>
          <w:ilvl w:val="0"/>
          <w:numId w:val="73"/>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656E7F">
      <w:pPr>
        <w:pStyle w:val="ListParagraph"/>
        <w:numPr>
          <w:ilvl w:val="0"/>
          <w:numId w:val="7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2939B45E"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A561D7">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656E7F">
      <w:pPr>
        <w:pStyle w:val="ListParagraph"/>
        <w:numPr>
          <w:ilvl w:val="3"/>
          <w:numId w:val="21"/>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lastRenderedPageBreak/>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2E7BCF">
      <w:pPr>
        <w:pStyle w:val="ListParagraph"/>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2E7BCF">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90112C">
      <w:pPr>
        <w:pStyle w:val="ListParagraph"/>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2E7BCF">
      <w:pPr>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2E7BCF">
      <w:pPr>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pPr>
        <w:rPr>
          <w:rFonts w:ascii="Sylfaen" w:eastAsia="Times New Roman" w:hAnsi="Sylfaen" w:cs="Sylfaen"/>
          <w:b/>
          <w:bCs/>
          <w:i/>
          <w:iCs/>
          <w:lang w:val="ka-GE"/>
        </w:rPr>
      </w:pPr>
    </w:p>
    <w:p w14:paraId="2D1E6923" w14:textId="77777777" w:rsidR="007D3B4B" w:rsidRPr="0090112C" w:rsidRDefault="007D3B4B"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90112C"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656E7F">
      <w:pPr>
        <w:pStyle w:val="ListParagraph"/>
        <w:numPr>
          <w:ilvl w:val="0"/>
          <w:numId w:val="22"/>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lastRenderedPageBreak/>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656E7F">
      <w:pPr>
        <w:pStyle w:val="ListParagraph"/>
        <w:numPr>
          <w:ilvl w:val="0"/>
          <w:numId w:val="51"/>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656E7F">
      <w:pPr>
        <w:pStyle w:val="ListParagraph"/>
        <w:numPr>
          <w:ilvl w:val="0"/>
          <w:numId w:val="51"/>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656E7F">
      <w:pPr>
        <w:pStyle w:val="ListParagraph"/>
        <w:numPr>
          <w:ilvl w:val="3"/>
          <w:numId w:val="74"/>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ვიზიტი,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656E7F">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lastRenderedPageBreak/>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656E7F">
      <w:pPr>
        <w:pStyle w:val="ListParagraph"/>
        <w:numPr>
          <w:ilvl w:val="0"/>
          <w:numId w:val="75"/>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656E7F">
      <w:pPr>
        <w:pStyle w:val="ListParagraph"/>
        <w:numPr>
          <w:ilvl w:val="0"/>
          <w:numId w:val="75"/>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1066549B"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656E7F">
      <w:pPr>
        <w:pStyle w:val="ListParagraph"/>
        <w:numPr>
          <w:ilvl w:val="3"/>
          <w:numId w:val="74"/>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w:t>
      </w:r>
      <w:r w:rsidRPr="0090112C">
        <w:rPr>
          <w:rFonts w:ascii="Sylfaen" w:hAnsi="Sylfaen" w:cs="Arial"/>
          <w:color w:val="000000"/>
        </w:rPr>
        <w:lastRenderedPageBreak/>
        <w:t>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59ECDBC3" w:rsidR="00B750F2" w:rsidRPr="0090112C" w:rsidRDefault="00B750F2" w:rsidP="00B750F2">
      <w:pPr>
        <w:rPr>
          <w:rFonts w:ascii="Sylfaen" w:hAnsi="Sylfaen"/>
          <w:lang w:val="ka-GE"/>
        </w:rPr>
      </w:pPr>
      <w:r w:rsidRPr="0090112C">
        <w:rPr>
          <w:rFonts w:ascii="Sylfaen" w:hAnsi="Sylfaen"/>
          <w:lang w:val="ka-GE"/>
        </w:rPr>
        <w:t>.</w:t>
      </w:r>
    </w:p>
    <w:p w14:paraId="1D384FCA" w14:textId="77777777" w:rsidR="00733DB7" w:rsidRPr="00733DB7" w:rsidRDefault="00A4748C"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656E7F">
      <w:pPr>
        <w:pStyle w:val="ListParagraph"/>
        <w:numPr>
          <w:ilvl w:val="3"/>
          <w:numId w:val="74"/>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B11E131" w14:textId="77777777" w:rsidR="00E5308C" w:rsidRPr="00B45CEB" w:rsidRDefault="00E5308C"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და  1 448 ექთანი; პროვაიდერების ჩათვლით: 1 280 ექიმი და 1 542 ექთანი. </w:t>
      </w:r>
    </w:p>
    <w:p w14:paraId="23F2DBCA" w14:textId="77777777" w:rsidR="00262918" w:rsidRPr="0090112C" w:rsidRDefault="00C24E9E" w:rsidP="00C24E9E">
      <w:pPr>
        <w:tabs>
          <w:tab w:val="left" w:pos="0"/>
        </w:tabs>
        <w:spacing w:after="0" w:line="240" w:lineRule="auto"/>
        <w:jc w:val="both"/>
        <w:rPr>
          <w:rFonts w:ascii="Sylfaen" w:hAnsi="Sylfaen"/>
        </w:rPr>
      </w:pPr>
      <w:r w:rsidRPr="0090112C">
        <w:rPr>
          <w:rFonts w:ascii="Sylfaen" w:hAnsi="Sylfaen" w:cs="Arial"/>
          <w:color w:val="000000"/>
          <w:lang w:val="ka-GE"/>
        </w:rPr>
        <w:t xml:space="preserve">     </w:t>
      </w:r>
    </w:p>
    <w:p w14:paraId="36E6A78E" w14:textId="77777777" w:rsidR="00262918" w:rsidRPr="0090112C" w:rsidRDefault="00262918" w:rsidP="00262918">
      <w:pPr>
        <w:pStyle w:val="abzacixml"/>
        <w:tabs>
          <w:tab w:val="left" w:pos="0"/>
        </w:tabs>
        <w:autoSpaceDE/>
        <w:autoSpaceDN/>
        <w:adjustRightInd/>
        <w:ind w:left="270" w:firstLine="0"/>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B7CBA54" w14:textId="77777777" w:rsidR="00B45CEB" w:rsidRPr="0090112C" w:rsidRDefault="00B45CEB" w:rsidP="00B45CEB">
      <w:pPr>
        <w:spacing w:after="0" w:line="240" w:lineRule="auto"/>
        <w:ind w:left="720"/>
        <w:contextualSpacing/>
        <w:jc w:val="both"/>
        <w:rPr>
          <w:rFonts w:ascii="Sylfaen" w:eastAsia="Times New Roman" w:hAnsi="Sylfaen" w:cs="Arial"/>
          <w:highlight w:val="yellow"/>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w:t>
      </w:r>
      <w:commentRangeStart w:id="13"/>
      <w:r w:rsidRPr="0090112C">
        <w:rPr>
          <w:rFonts w:ascii="Sylfaen" w:eastAsia="Times New Roman" w:hAnsi="Sylfaen" w:cs="Arial"/>
          <w:highlight w:val="yellow"/>
        </w:rPr>
        <w:t>მიმართვების</w:t>
      </w:r>
      <w:commentRangeEnd w:id="13"/>
      <w:r>
        <w:rPr>
          <w:rStyle w:val="CommentReference"/>
        </w:rPr>
        <w:commentReference w:id="13"/>
      </w:r>
      <w:r w:rsidRPr="0090112C">
        <w:rPr>
          <w:rFonts w:ascii="Sylfaen" w:eastAsia="Times New Roman" w:hAnsi="Sylfaen" w:cs="Arial"/>
          <w:highlight w:val="yellow"/>
        </w:rPr>
        <w:t xml:space="preserve"> რაოდენობამ შეადგინა </w:t>
      </w:r>
      <w:r w:rsidRPr="0090112C">
        <w:rPr>
          <w:rFonts w:ascii="Sylfaen" w:eastAsia="Times New Roman" w:hAnsi="Sylfaen" w:cs="Arial"/>
          <w:highlight w:val="yellow"/>
          <w:lang w:val="ka-GE"/>
        </w:rPr>
        <w:t>4,0.</w:t>
      </w:r>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656E7F">
      <w:pPr>
        <w:pStyle w:val="Normal00"/>
        <w:numPr>
          <w:ilvl w:val="0"/>
          <w:numId w:val="80"/>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w:t>
      </w:r>
      <w:r w:rsidRPr="0090112C">
        <w:rPr>
          <w:rFonts w:ascii="Sylfaen" w:hAnsi="Sylfaen" w:cs="Arial"/>
          <w:color w:val="000000"/>
        </w:rPr>
        <w:lastRenderedPageBreak/>
        <w:t xml:space="preserve">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პაციენტს.</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656E7F">
      <w:pPr>
        <w:pStyle w:val="ListParagraph"/>
        <w:numPr>
          <w:ilvl w:val="3"/>
          <w:numId w:val="74"/>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656E7F">
      <w:pPr>
        <w:pStyle w:val="ListParagraph"/>
        <w:numPr>
          <w:ilvl w:val="0"/>
          <w:numId w:val="81"/>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656E7F">
      <w:pPr>
        <w:pStyle w:val="Normal00"/>
        <w:numPr>
          <w:ilvl w:val="0"/>
          <w:numId w:val="8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32231A98"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მედიკამენტებით უზრუნველყოფილი</w:t>
      </w:r>
      <w:r w:rsidR="00E430A5">
        <w:rPr>
          <w:rFonts w:ascii="Sylfaen" w:eastAsia="Times New Roman" w:hAnsi="Sylfaen" w:cs="Times New Roman"/>
          <w:lang w:val="ka-GE"/>
        </w:rPr>
        <w:t xml:space="preserve">ს პროგრამით ისარგებლა </w:t>
      </w:r>
      <w:r w:rsidRPr="0090112C">
        <w:rPr>
          <w:rFonts w:ascii="Sylfaen" w:eastAsia="Times New Roman" w:hAnsi="Sylfaen" w:cs="Times New Roman"/>
          <w:lang w:val="ka-GE"/>
        </w:rPr>
        <w:t xml:space="preserve"> </w:t>
      </w:r>
      <w:r w:rsidR="00E430A5">
        <w:rPr>
          <w:rFonts w:ascii="Sylfaen" w:eastAsia="Times New Roman" w:hAnsi="Sylfaen" w:cs="Times New Roman"/>
          <w:lang w:val="ka-GE"/>
        </w:rPr>
        <w:t>29 483 პირმა.</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lastRenderedPageBreak/>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656E7F">
      <w:pPr>
        <w:pStyle w:val="ListParagraph"/>
        <w:numPr>
          <w:ilvl w:val="2"/>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77777777"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3AA26CAA"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lastRenderedPageBreak/>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122DEBE" w14:textId="77777777" w:rsidR="00C96BB4" w:rsidRPr="0090112C" w:rsidRDefault="00C96BB4" w:rsidP="00C96BB4">
      <w:pPr>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827BC6">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90112C"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90112C" w:rsidRDefault="00805335" w:rsidP="00805335">
      <w:pPr>
        <w:pStyle w:val="ListParagraph"/>
        <w:autoSpaceDE/>
        <w:autoSpaceDN/>
        <w:adjustRightInd/>
        <w:spacing w:after="160" w:line="259" w:lineRule="auto"/>
        <w:contextualSpacing/>
        <w:jc w:val="both"/>
        <w:rPr>
          <w:rFonts w:ascii="Sylfaen" w:hAnsi="Sylfaen"/>
          <w:b/>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58F94C72" w14:textId="77777777" w:rsidR="00C96BB4" w:rsidRPr="0090112C" w:rsidRDefault="00C96BB4" w:rsidP="00C96BB4">
      <w:pPr>
        <w:pStyle w:val="ListParagraph"/>
        <w:spacing w:after="160" w:line="259" w:lineRule="auto"/>
        <w:contextualSpacing/>
        <w:rPr>
          <w:rFonts w:ascii="Sylfaen" w:hAnsi="Sylfaen"/>
          <w:b/>
        </w:rPr>
      </w:pPr>
    </w:p>
    <w:p w14:paraId="061A8DD4" w14:textId="6ED75690"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90112C"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90112C"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90112C">
        <w:rPr>
          <w:rFonts w:ascii="Sylfaen" w:eastAsia="Sylfaen" w:hAnsi="Sylfaen"/>
          <w:color w:val="000000"/>
        </w:rPr>
        <w:t>.</w:t>
      </w:r>
    </w:p>
    <w:p w14:paraId="2BC9AFE2" w14:textId="77777777"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6D3715" w14:textId="77777777" w:rsidR="00C96BB4" w:rsidRPr="0090112C" w:rsidRDefault="00C96BB4" w:rsidP="00C96BB4">
      <w:pPr>
        <w:spacing w:after="160" w:line="259" w:lineRule="auto"/>
        <w:ind w:left="720"/>
        <w:contextualSpacing/>
        <w:jc w:val="both"/>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90112C">
        <w:rPr>
          <w:rFonts w:ascii="Sylfaen" w:hAnsi="Sylfaen"/>
          <w:lang w:val="ka-GE"/>
        </w:rPr>
        <w:t xml:space="preserve"> 28.</w:t>
      </w:r>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561CED8F" w14:textId="77777777" w:rsidR="00C96BB4" w:rsidRPr="0090112C" w:rsidRDefault="00C96BB4" w:rsidP="00656E7F">
      <w:pPr>
        <w:pStyle w:val="ListParagraph"/>
        <w:numPr>
          <w:ilvl w:val="0"/>
          <w:numId w:val="32"/>
        </w:numPr>
        <w:spacing w:after="160" w:line="259" w:lineRule="auto"/>
        <w:contextualSpacing/>
        <w:jc w:val="both"/>
        <w:rPr>
          <w:rFonts w:ascii="Sylfaen" w:hAnsi="Sylfaen"/>
          <w:lang w:val="ka-GE"/>
        </w:rPr>
      </w:pPr>
      <w:r w:rsidRPr="0090112C">
        <w:rPr>
          <w:rFonts w:ascii="Sylfaen" w:hAnsi="Sylfaen" w:cs="Sylfaen"/>
          <w:lang w:val="ka-GE"/>
        </w:rPr>
        <w:t>დიპლომისშემდგომი</w:t>
      </w:r>
      <w:r w:rsidRPr="0090112C">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90112C" w:rsidRDefault="00C96BB4" w:rsidP="00656E7F">
      <w:pPr>
        <w:pStyle w:val="ListParagraph"/>
        <w:numPr>
          <w:ilvl w:val="0"/>
          <w:numId w:val="32"/>
        </w:numPr>
        <w:autoSpaceDE/>
        <w:autoSpaceDN/>
        <w:adjustRightInd/>
        <w:spacing w:after="160" w:line="259" w:lineRule="auto"/>
        <w:contextualSpacing/>
        <w:jc w:val="both"/>
        <w:rPr>
          <w:rFonts w:ascii="Sylfaen" w:hAnsi="Sylfaen"/>
        </w:rPr>
      </w:pPr>
      <w:r w:rsidRPr="0090112C">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9-02-26T00:00:00Z" w:initials="WU">
    <w:p w14:paraId="24257E0F" w14:textId="54395D5E" w:rsidR="00E430A5" w:rsidRPr="0090112C"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1" w:author="Windows User" w:date="2019-02-26T00:03:00Z" w:initials="WU">
    <w:p w14:paraId="002B9A8D" w14:textId="18971683" w:rsidR="00E430A5" w:rsidRPr="00A65181"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2" w:author="Windows User" w:date="2019-02-26T00:36:00Z" w:initials="WU">
    <w:p w14:paraId="4D787F00" w14:textId="489D4696" w:rsidR="00E430A5" w:rsidRPr="00845053"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3" w:author="Windows User" w:date="2019-02-26T00:38:00Z" w:initials="WU">
    <w:p w14:paraId="7934E6D6" w14:textId="7C128071" w:rsidR="00E430A5" w:rsidRPr="00845053"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4" w:author="Ekaterine Adamia" w:date="2019-02-18T19:54:00Z" w:initials="EA">
    <w:p w14:paraId="2715AD56" w14:textId="5FC6E515" w:rsidR="00E430A5" w:rsidRPr="009D2CD3" w:rsidRDefault="00E430A5">
      <w:pPr>
        <w:pStyle w:val="CommentText"/>
        <w:rPr>
          <w:rFonts w:ascii="Sylfaen" w:hAnsi="Sylfaen"/>
          <w:lang w:val="ka-GE"/>
        </w:rPr>
      </w:pPr>
      <w:r>
        <w:rPr>
          <w:rStyle w:val="CommentReference"/>
        </w:rPr>
        <w:annotationRef/>
      </w:r>
      <w:r>
        <w:rPr>
          <w:rFonts w:ascii="Sylfaen" w:hAnsi="Sylfaen"/>
          <w:lang w:val="ka-GE"/>
        </w:rPr>
        <w:t>აქ პროცენტი მჭირდება კონფირმაციის (ანუ რამდენი კონფირმაცია ჩატარდა)</w:t>
      </w:r>
    </w:p>
  </w:comment>
  <w:comment w:id="5" w:author="Windows User" w:date="2019-02-26T03:04:00Z" w:initials="WU">
    <w:p w14:paraId="0CBA817E" w14:textId="04FCA2F7" w:rsidR="00E430A5" w:rsidRDefault="00E430A5">
      <w:pPr>
        <w:pStyle w:val="CommentText"/>
      </w:pPr>
      <w:r>
        <w:rPr>
          <w:rStyle w:val="CommentReference"/>
        </w:rPr>
        <w:annotationRef/>
      </w:r>
      <w:r>
        <w:t>NSDS</w:t>
      </w:r>
    </w:p>
  </w:comment>
  <w:comment w:id="6" w:author="Windows User" w:date="2019-02-26T03:15:00Z" w:initials="WU">
    <w:p w14:paraId="212770AC" w14:textId="15938006" w:rsidR="00E430A5" w:rsidRDefault="00E430A5">
      <w:pPr>
        <w:pStyle w:val="CommentText"/>
      </w:pPr>
      <w:r>
        <w:rPr>
          <w:rStyle w:val="CommentReference"/>
        </w:rPr>
        <w:annotationRef/>
      </w:r>
      <w:r>
        <w:t>NSDS</w:t>
      </w:r>
    </w:p>
  </w:comment>
  <w:comment w:id="8" w:author="Ekaterine Adamia" w:date="2019-02-26T10:04:00Z" w:initials="EA">
    <w:p w14:paraId="65564036" w14:textId="0F95FFD3" w:rsidR="00E430A5" w:rsidRPr="00F3127B"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9" w:author="Ekaterine Adamia" w:date="2019-02-26T10:06:00Z" w:initials="EA">
    <w:p w14:paraId="52F88FA1" w14:textId="0B0B4977" w:rsidR="00E430A5" w:rsidRPr="00F3127B"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10" w:author="Ekaterine Adamia" w:date="2019-02-26T10:08:00Z" w:initials="EA">
    <w:p w14:paraId="2C3FBD50" w14:textId="18B6352B" w:rsidR="00E430A5" w:rsidRPr="00F3127B"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11" w:author="Ekaterine Adamia" w:date="2019-02-26T10:24:00Z" w:initials="EA">
    <w:p w14:paraId="33C6BE88" w14:textId="3DF55990" w:rsidR="00E430A5" w:rsidRPr="00A561D7"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12" w:author="Ekaterine Adamia" w:date="2019-02-26T10:25:00Z" w:initials="EA">
    <w:p w14:paraId="5AED3765" w14:textId="2D523529" w:rsidR="00E430A5" w:rsidRPr="00A561D7"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 w:id="13" w:author="Ekaterine Adamia" w:date="2019-02-26T10:59:00Z" w:initials="EA">
    <w:p w14:paraId="0B050B0D" w14:textId="41EA4866" w:rsidR="00E430A5" w:rsidRPr="00B45CEB" w:rsidRDefault="00E430A5">
      <w:pPr>
        <w:pStyle w:val="CommentText"/>
        <w:rPr>
          <w:rFonts w:ascii="Sylfaen" w:hAnsi="Sylfaen"/>
          <w:lang w:val="ka-GE"/>
        </w:rPr>
      </w:pPr>
      <w:r>
        <w:rPr>
          <w:rStyle w:val="CommentReference"/>
        </w:rPr>
        <w:annotationRef/>
      </w:r>
      <w:r>
        <w:rPr>
          <w:rFonts w:ascii="Sylfaen" w:hAnsi="Sylfaen"/>
          <w:lang w:val="ka-GE"/>
        </w:rPr>
        <w:t>ნსდს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57E0F" w15:done="0"/>
  <w15:commentEx w15:paraId="002B9A8D" w15:done="0"/>
  <w15:commentEx w15:paraId="4D787F00" w15:done="0"/>
  <w15:commentEx w15:paraId="7934E6D6" w15:done="0"/>
  <w15:commentEx w15:paraId="2715AD56" w15:done="0"/>
  <w15:commentEx w15:paraId="0CBA817E" w15:done="0"/>
  <w15:commentEx w15:paraId="212770AC" w15:done="0"/>
  <w15:commentEx w15:paraId="65564036" w15:done="0"/>
  <w15:commentEx w15:paraId="52F88FA1" w15:done="0"/>
  <w15:commentEx w15:paraId="2C3FBD50" w15:done="0"/>
  <w15:commentEx w15:paraId="33C6BE88" w15:done="0"/>
  <w15:commentEx w15:paraId="5AED3765" w15:done="0"/>
  <w15:commentEx w15:paraId="0B050B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DD3CB" w14:textId="77777777" w:rsidR="0012638B" w:rsidRDefault="0012638B" w:rsidP="002A79E6">
      <w:pPr>
        <w:spacing w:after="0" w:line="240" w:lineRule="auto"/>
      </w:pPr>
      <w:r>
        <w:separator/>
      </w:r>
    </w:p>
  </w:endnote>
  <w:endnote w:type="continuationSeparator" w:id="0">
    <w:p w14:paraId="671CA2A8" w14:textId="77777777" w:rsidR="0012638B" w:rsidRDefault="0012638B"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02E1" w14:textId="77777777" w:rsidR="0012638B" w:rsidRDefault="0012638B" w:rsidP="002A79E6">
      <w:pPr>
        <w:spacing w:after="0" w:line="240" w:lineRule="auto"/>
      </w:pPr>
      <w:r>
        <w:separator/>
      </w:r>
    </w:p>
  </w:footnote>
  <w:footnote w:type="continuationSeparator" w:id="0">
    <w:p w14:paraId="73F09134" w14:textId="77777777" w:rsidR="0012638B" w:rsidRDefault="0012638B"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FE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F6266"/>
    <w:multiLevelType w:val="hybridMultilevel"/>
    <w:tmpl w:val="5DCA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0"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2"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3"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3"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9"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AE3DAE"/>
    <w:multiLevelType w:val="hybridMultilevel"/>
    <w:tmpl w:val="56A6A2E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8AB2CED"/>
    <w:multiLevelType w:val="hybridMultilevel"/>
    <w:tmpl w:val="0FF20390"/>
    <w:lvl w:ilvl="0" w:tplc="08482C9C">
      <w:start w:val="1"/>
      <w:numFmt w:val="bullet"/>
      <w:lvlText w:val=""/>
      <w:lvlJc w:val="left"/>
      <w:pPr>
        <w:ind w:left="720" w:hanging="360"/>
      </w:pPr>
      <w:rPr>
        <w:rFonts w:ascii="Symbol" w:hAnsi="Symbol" w:hint="default"/>
        <w:color w:val="auto"/>
        <w:sz w:val="18"/>
        <w:szCs w:val="18"/>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4"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77"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80"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1"/>
  </w:num>
  <w:num w:numId="3">
    <w:abstractNumId w:val="18"/>
  </w:num>
  <w:num w:numId="4">
    <w:abstractNumId w:val="60"/>
  </w:num>
  <w:num w:numId="5">
    <w:abstractNumId w:val="80"/>
  </w:num>
  <w:num w:numId="6">
    <w:abstractNumId w:val="62"/>
  </w:num>
  <w:num w:numId="7">
    <w:abstractNumId w:val="41"/>
  </w:num>
  <w:num w:numId="8">
    <w:abstractNumId w:val="68"/>
  </w:num>
  <w:num w:numId="9">
    <w:abstractNumId w:val="64"/>
  </w:num>
  <w:num w:numId="10">
    <w:abstractNumId w:val="28"/>
  </w:num>
  <w:num w:numId="11">
    <w:abstractNumId w:val="55"/>
  </w:num>
  <w:num w:numId="12">
    <w:abstractNumId w:val="36"/>
  </w:num>
  <w:num w:numId="13">
    <w:abstractNumId w:val="19"/>
  </w:num>
  <w:num w:numId="14">
    <w:abstractNumId w:val="75"/>
  </w:num>
  <w:num w:numId="15">
    <w:abstractNumId w:val="57"/>
  </w:num>
  <w:num w:numId="16">
    <w:abstractNumId w:val="21"/>
  </w:num>
  <w:num w:numId="17">
    <w:abstractNumId w:val="26"/>
  </w:num>
  <w:num w:numId="18">
    <w:abstractNumId w:val="76"/>
  </w:num>
  <w:num w:numId="19">
    <w:abstractNumId w:val="45"/>
  </w:num>
  <w:num w:numId="20">
    <w:abstractNumId w:val="50"/>
  </w:num>
  <w:num w:numId="21">
    <w:abstractNumId w:val="79"/>
  </w:num>
  <w:num w:numId="22">
    <w:abstractNumId w:val="10"/>
  </w:num>
  <w:num w:numId="23">
    <w:abstractNumId w:val="48"/>
  </w:num>
  <w:num w:numId="24">
    <w:abstractNumId w:val="14"/>
  </w:num>
  <w:num w:numId="25">
    <w:abstractNumId w:val="25"/>
  </w:num>
  <w:num w:numId="26">
    <w:abstractNumId w:val="54"/>
  </w:num>
  <w:num w:numId="27">
    <w:abstractNumId w:val="20"/>
  </w:num>
  <w:num w:numId="28">
    <w:abstractNumId w:val="29"/>
  </w:num>
  <w:num w:numId="29">
    <w:abstractNumId w:val="35"/>
  </w:num>
  <w:num w:numId="30">
    <w:abstractNumId w:val="47"/>
  </w:num>
  <w:num w:numId="31">
    <w:abstractNumId w:val="42"/>
  </w:num>
  <w:num w:numId="32">
    <w:abstractNumId w:val="77"/>
  </w:num>
  <w:num w:numId="33">
    <w:abstractNumId w:val="12"/>
  </w:num>
  <w:num w:numId="34">
    <w:abstractNumId w:val="33"/>
  </w:num>
  <w:num w:numId="35">
    <w:abstractNumId w:val="58"/>
  </w:num>
  <w:num w:numId="36">
    <w:abstractNumId w:val="63"/>
  </w:num>
  <w:num w:numId="37">
    <w:abstractNumId w:val="66"/>
  </w:num>
  <w:num w:numId="38">
    <w:abstractNumId w:val="52"/>
  </w:num>
  <w:num w:numId="39">
    <w:abstractNumId w:val="56"/>
  </w:num>
  <w:num w:numId="40">
    <w:abstractNumId w:val="30"/>
  </w:num>
  <w:num w:numId="41">
    <w:abstractNumId w:val="24"/>
  </w:num>
  <w:num w:numId="42">
    <w:abstractNumId w:val="16"/>
  </w:num>
  <w:num w:numId="43">
    <w:abstractNumId w:val="70"/>
  </w:num>
  <w:num w:numId="44">
    <w:abstractNumId w:val="73"/>
  </w:num>
  <w:num w:numId="45">
    <w:abstractNumId w:val="9"/>
  </w:num>
  <w:num w:numId="46">
    <w:abstractNumId w:val="39"/>
  </w:num>
  <w:num w:numId="47">
    <w:abstractNumId w:val="4"/>
  </w:num>
  <w:num w:numId="48">
    <w:abstractNumId w:val="43"/>
  </w:num>
  <w:num w:numId="49">
    <w:abstractNumId w:val="74"/>
  </w:num>
  <w:num w:numId="50">
    <w:abstractNumId w:val="61"/>
  </w:num>
  <w:num w:numId="51">
    <w:abstractNumId w:val="46"/>
  </w:num>
  <w:num w:numId="52">
    <w:abstractNumId w:val="17"/>
  </w:num>
  <w:num w:numId="53">
    <w:abstractNumId w:val="13"/>
  </w:num>
  <w:num w:numId="54">
    <w:abstractNumId w:val="38"/>
  </w:num>
  <w:num w:numId="55">
    <w:abstractNumId w:val="2"/>
  </w:num>
  <w:num w:numId="56">
    <w:abstractNumId w:val="53"/>
  </w:num>
  <w:num w:numId="57">
    <w:abstractNumId w:val="3"/>
  </w:num>
  <w:num w:numId="58">
    <w:abstractNumId w:val="72"/>
  </w:num>
  <w:num w:numId="59">
    <w:abstractNumId w:val="40"/>
  </w:num>
  <w:num w:numId="60">
    <w:abstractNumId w:val="8"/>
  </w:num>
  <w:num w:numId="61">
    <w:abstractNumId w:val="78"/>
  </w:num>
  <w:num w:numId="62">
    <w:abstractNumId w:val="71"/>
  </w:num>
  <w:num w:numId="63">
    <w:abstractNumId w:val="1"/>
  </w:num>
  <w:num w:numId="64">
    <w:abstractNumId w:val="23"/>
  </w:num>
  <w:num w:numId="65">
    <w:abstractNumId w:val="67"/>
  </w:num>
  <w:num w:numId="66">
    <w:abstractNumId w:val="37"/>
  </w:num>
  <w:num w:numId="67">
    <w:abstractNumId w:val="31"/>
  </w:num>
  <w:num w:numId="68">
    <w:abstractNumId w:val="59"/>
  </w:num>
  <w:num w:numId="69">
    <w:abstractNumId w:val="7"/>
  </w:num>
  <w:num w:numId="70">
    <w:abstractNumId w:val="65"/>
  </w:num>
  <w:num w:numId="71">
    <w:abstractNumId w:val="5"/>
  </w:num>
  <w:num w:numId="72">
    <w:abstractNumId w:val="6"/>
  </w:num>
  <w:num w:numId="73">
    <w:abstractNumId w:val="69"/>
  </w:num>
  <w:num w:numId="74">
    <w:abstractNumId w:val="11"/>
  </w:num>
  <w:num w:numId="75">
    <w:abstractNumId w:val="32"/>
  </w:num>
  <w:num w:numId="76">
    <w:abstractNumId w:val="44"/>
  </w:num>
  <w:num w:numId="77">
    <w:abstractNumId w:val="27"/>
  </w:num>
  <w:num w:numId="78">
    <w:abstractNumId w:val="34"/>
  </w:num>
  <w:num w:numId="79">
    <w:abstractNumId w:val="22"/>
  </w:num>
  <w:num w:numId="80">
    <w:abstractNumId w:val="15"/>
  </w:num>
  <w:num w:numId="81">
    <w:abstractNumId w:val="4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AA3"/>
    <w:rsid w:val="00230CD0"/>
    <w:rsid w:val="00235893"/>
    <w:rsid w:val="002371D8"/>
    <w:rsid w:val="0024367C"/>
    <w:rsid w:val="002445F5"/>
    <w:rsid w:val="00253A3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292D"/>
    <w:rsid w:val="00386697"/>
    <w:rsid w:val="0039505F"/>
    <w:rsid w:val="003A0770"/>
    <w:rsid w:val="003A6D2C"/>
    <w:rsid w:val="003C1FCE"/>
    <w:rsid w:val="003C2B4C"/>
    <w:rsid w:val="003D3E28"/>
    <w:rsid w:val="003D7D25"/>
    <w:rsid w:val="003E79EC"/>
    <w:rsid w:val="003F1AD9"/>
    <w:rsid w:val="003F2606"/>
    <w:rsid w:val="00400C90"/>
    <w:rsid w:val="004016F4"/>
    <w:rsid w:val="00403CD5"/>
    <w:rsid w:val="00412AD0"/>
    <w:rsid w:val="00416F53"/>
    <w:rsid w:val="0042465F"/>
    <w:rsid w:val="00436BFE"/>
    <w:rsid w:val="0044159A"/>
    <w:rsid w:val="00475D3A"/>
    <w:rsid w:val="0047780F"/>
    <w:rsid w:val="00483B8C"/>
    <w:rsid w:val="00487A7D"/>
    <w:rsid w:val="00487DCA"/>
    <w:rsid w:val="00491B60"/>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616B1"/>
    <w:rsid w:val="00564BC2"/>
    <w:rsid w:val="00571FFF"/>
    <w:rsid w:val="005726F8"/>
    <w:rsid w:val="00586EF3"/>
    <w:rsid w:val="00592880"/>
    <w:rsid w:val="005A362E"/>
    <w:rsid w:val="005C08D7"/>
    <w:rsid w:val="005C12D0"/>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D0F04"/>
    <w:rsid w:val="008D3901"/>
    <w:rsid w:val="008E009B"/>
    <w:rsid w:val="008E04EE"/>
    <w:rsid w:val="008E5E93"/>
    <w:rsid w:val="008F5B64"/>
    <w:rsid w:val="0090112C"/>
    <w:rsid w:val="00906862"/>
    <w:rsid w:val="009105C9"/>
    <w:rsid w:val="0091620D"/>
    <w:rsid w:val="00922970"/>
    <w:rsid w:val="00933B3B"/>
    <w:rsid w:val="00950EA7"/>
    <w:rsid w:val="009573E1"/>
    <w:rsid w:val="00976155"/>
    <w:rsid w:val="00980B47"/>
    <w:rsid w:val="00982D88"/>
    <w:rsid w:val="00984BE0"/>
    <w:rsid w:val="00985505"/>
    <w:rsid w:val="00987B71"/>
    <w:rsid w:val="00987D86"/>
    <w:rsid w:val="0099370D"/>
    <w:rsid w:val="009B2F1F"/>
    <w:rsid w:val="009C04E8"/>
    <w:rsid w:val="009D0B97"/>
    <w:rsid w:val="009D2CD3"/>
    <w:rsid w:val="009E34E1"/>
    <w:rsid w:val="009E7163"/>
    <w:rsid w:val="009F51CA"/>
    <w:rsid w:val="00A00734"/>
    <w:rsid w:val="00A12DFF"/>
    <w:rsid w:val="00A173AA"/>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6967"/>
    <w:rsid w:val="00AE5F5B"/>
    <w:rsid w:val="00AF2325"/>
    <w:rsid w:val="00B03D45"/>
    <w:rsid w:val="00B045EF"/>
    <w:rsid w:val="00B07370"/>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D0F70"/>
    <w:rsid w:val="00BD2141"/>
    <w:rsid w:val="00BD4139"/>
    <w:rsid w:val="00BD5E07"/>
    <w:rsid w:val="00BE0230"/>
    <w:rsid w:val="00BE76B8"/>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2C53"/>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2E99"/>
    <w:rsid w:val="00E94BC3"/>
    <w:rsid w:val="00E952A9"/>
    <w:rsid w:val="00E96D5B"/>
    <w:rsid w:val="00EE0307"/>
    <w:rsid w:val="00EE2B90"/>
    <w:rsid w:val="00EE3B82"/>
    <w:rsid w:val="00EE3EE1"/>
    <w:rsid w:val="00F00F19"/>
    <w:rsid w:val="00F023E1"/>
    <w:rsid w:val="00F1281B"/>
    <w:rsid w:val="00F1339C"/>
    <w:rsid w:val="00F134ED"/>
    <w:rsid w:val="00F139BD"/>
    <w:rsid w:val="00F300FB"/>
    <w:rsid w:val="00F3127B"/>
    <w:rsid w:val="00F312EA"/>
    <w:rsid w:val="00F412A4"/>
    <w:rsid w:val="00F56FF7"/>
    <w:rsid w:val="00F705B5"/>
    <w:rsid w:val="00F75154"/>
    <w:rsid w:val="00F81AE8"/>
    <w:rsid w:val="00F91100"/>
    <w:rsid w:val="00F9241A"/>
    <w:rsid w:val="00FA43BA"/>
    <w:rsid w:val="00FB7632"/>
    <w:rsid w:val="00FC1FF6"/>
    <w:rsid w:val="00FC2DC1"/>
    <w:rsid w:val="00FC5098"/>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0ED8-5FE7-44C1-9296-3FC74BD8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60</Pages>
  <Words>17782</Words>
  <Characters>101363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25</cp:revision>
  <cp:lastPrinted>2017-02-24T08:19:00Z</cp:lastPrinted>
  <dcterms:created xsi:type="dcterms:W3CDTF">2019-01-21T07:30:00Z</dcterms:created>
  <dcterms:modified xsi:type="dcterms:W3CDTF">2019-02-26T10:37:00Z</dcterms:modified>
</cp:coreProperties>
</file>